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B4D1F8">
      <w:pPr>
        <w:jc w:val="center"/>
        <w:rPr>
          <w:rFonts w:ascii="黑体" w:hAnsi="Times New Roman" w:eastAsia="黑体" w:cs="Times New Roman"/>
          <w:bCs/>
          <w:kern w:val="44"/>
          <w:sz w:val="36"/>
          <w:szCs w:val="36"/>
        </w:rPr>
      </w:pPr>
      <w:r>
        <w:rPr>
          <w:rFonts w:hint="eastAsia" w:ascii="黑体" w:hAnsi="Times New Roman" w:eastAsia="黑体" w:cs="Times New Roman"/>
          <w:bCs/>
          <w:kern w:val="44"/>
          <w:sz w:val="36"/>
          <w:szCs w:val="36"/>
        </w:rPr>
        <w:t>材料工程技术专业主要课程</w:t>
      </w:r>
    </w:p>
    <w:p w14:paraId="1B34ACB8">
      <w:pPr>
        <w:jc w:val="center"/>
        <w:rPr>
          <w:rFonts w:ascii="宋体" w:hAnsi="宋体" w:eastAsia="宋体" w:cs="宋体"/>
          <w:bCs/>
          <w:sz w:val="24"/>
        </w:rPr>
      </w:pPr>
    </w:p>
    <w:p w14:paraId="2AF05F66">
      <w:pPr>
        <w:adjustRightInd w:val="0"/>
        <w:snapToGrid w:val="0"/>
        <w:spacing w:line="360" w:lineRule="auto"/>
        <w:ind w:firstLine="480" w:firstLineChars="200"/>
        <w:rPr>
          <w:rFonts w:ascii="宋体" w:hAnsi="宋体" w:cs="Angsana New"/>
          <w:iCs/>
          <w:sz w:val="24"/>
          <w:lang w:bidi="th-TH"/>
        </w:rPr>
      </w:pPr>
      <w:r>
        <w:rPr>
          <w:rFonts w:hint="eastAsia" w:ascii="宋体" w:hAnsi="宋体" w:eastAsia="宋体" w:cs="Angsana New"/>
          <w:iCs/>
          <w:sz w:val="24"/>
          <w:lang w:bidi="th-TH"/>
        </w:rPr>
        <w:t>材料工程技术专业的主要课程、</w:t>
      </w:r>
      <w:r>
        <w:rPr>
          <w:rFonts w:hint="eastAsia" w:ascii="宋体" w:hAnsi="宋体" w:cs="Angsana New"/>
          <w:iCs/>
          <w:sz w:val="24"/>
          <w:lang w:bidi="th-TH"/>
        </w:rPr>
        <w:t>课程的主要内容、教学要求如下表所示：</w:t>
      </w:r>
    </w:p>
    <w:p w14:paraId="0BF053D1">
      <w:pPr>
        <w:jc w:val="center"/>
        <w:rPr>
          <w:rFonts w:ascii="宋体" w:hAnsi="宋体" w:eastAsia="宋体" w:cs="宋体"/>
          <w:bCs/>
          <w:sz w:val="24"/>
        </w:rPr>
      </w:pPr>
    </w:p>
    <w:tbl>
      <w:tblPr>
        <w:tblStyle w:val="7"/>
        <w:tblW w:w="4875"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4"/>
        <w:gridCol w:w="2496"/>
        <w:gridCol w:w="4999"/>
      </w:tblGrid>
      <w:tr w14:paraId="453BF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489" w:type="pct"/>
            <w:tcBorders>
              <w:bottom w:val="single" w:color="auto" w:sz="4" w:space="0"/>
            </w:tcBorders>
            <w:vAlign w:val="center"/>
          </w:tcPr>
          <w:p w14:paraId="33A28550">
            <w:pPr>
              <w:snapToGrid w:val="0"/>
              <w:spacing w:line="320" w:lineRule="exact"/>
              <w:jc w:val="center"/>
              <w:rPr>
                <w:rFonts w:ascii="宋体"/>
                <w:sz w:val="18"/>
                <w:szCs w:val="18"/>
              </w:rPr>
            </w:pPr>
            <w:r>
              <w:rPr>
                <w:rFonts w:hint="eastAsia" w:ascii="宋体"/>
                <w:sz w:val="18"/>
                <w:szCs w:val="18"/>
              </w:rPr>
              <w:t>主要课程</w:t>
            </w:r>
          </w:p>
        </w:tc>
        <w:tc>
          <w:tcPr>
            <w:tcW w:w="1501" w:type="pct"/>
            <w:tcBorders>
              <w:bottom w:val="single" w:color="auto" w:sz="4" w:space="0"/>
              <w:right w:val="single" w:color="auto" w:sz="4" w:space="0"/>
            </w:tcBorders>
            <w:vAlign w:val="center"/>
          </w:tcPr>
          <w:p w14:paraId="6872DECE">
            <w:pPr>
              <w:snapToGrid w:val="0"/>
              <w:spacing w:line="320" w:lineRule="exact"/>
              <w:jc w:val="center"/>
              <w:rPr>
                <w:rFonts w:ascii="宋体"/>
                <w:sz w:val="18"/>
                <w:szCs w:val="18"/>
              </w:rPr>
            </w:pPr>
            <w:r>
              <w:rPr>
                <w:rFonts w:hint="eastAsia" w:ascii="宋体"/>
                <w:sz w:val="18"/>
                <w:szCs w:val="18"/>
              </w:rPr>
              <w:t>主要内容</w:t>
            </w:r>
          </w:p>
        </w:tc>
        <w:tc>
          <w:tcPr>
            <w:tcW w:w="3008" w:type="pct"/>
            <w:tcBorders>
              <w:left w:val="single" w:color="auto" w:sz="4" w:space="0"/>
              <w:bottom w:val="single" w:color="auto" w:sz="4" w:space="0"/>
            </w:tcBorders>
            <w:vAlign w:val="center"/>
          </w:tcPr>
          <w:p w14:paraId="3782BD53">
            <w:pPr>
              <w:snapToGrid w:val="0"/>
              <w:spacing w:line="320" w:lineRule="exact"/>
              <w:jc w:val="center"/>
              <w:rPr>
                <w:rFonts w:ascii="宋体"/>
                <w:sz w:val="18"/>
                <w:szCs w:val="18"/>
              </w:rPr>
            </w:pPr>
            <w:r>
              <w:rPr>
                <w:rFonts w:hint="eastAsia" w:ascii="宋体"/>
                <w:sz w:val="18"/>
                <w:szCs w:val="18"/>
              </w:rPr>
              <w:t>教学要求</w:t>
            </w:r>
          </w:p>
        </w:tc>
      </w:tr>
      <w:tr w14:paraId="4C815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489" w:type="pct"/>
            <w:vAlign w:val="center"/>
          </w:tcPr>
          <w:p w14:paraId="0C89863D">
            <w:pPr>
              <w:snapToGrid w:val="0"/>
              <w:spacing w:line="320" w:lineRule="exact"/>
              <w:jc w:val="center"/>
              <w:rPr>
                <w:rFonts w:ascii="宋体"/>
                <w:sz w:val="18"/>
                <w:szCs w:val="18"/>
              </w:rPr>
            </w:pPr>
            <w:r>
              <w:rPr>
                <w:rFonts w:hint="eastAsia" w:ascii="宋体"/>
                <w:sz w:val="18"/>
                <w:szCs w:val="18"/>
              </w:rPr>
              <w:t>材料分析技术</w:t>
            </w:r>
          </w:p>
        </w:tc>
        <w:tc>
          <w:tcPr>
            <w:tcW w:w="1501" w:type="pct"/>
            <w:tcBorders>
              <w:right w:val="single" w:color="auto" w:sz="4" w:space="0"/>
            </w:tcBorders>
            <w:vAlign w:val="center"/>
          </w:tcPr>
          <w:p w14:paraId="48F4CE13">
            <w:pPr>
              <w:snapToGrid w:val="0"/>
              <w:spacing w:line="320" w:lineRule="exact"/>
              <w:rPr>
                <w:rFonts w:ascii="宋体"/>
                <w:sz w:val="18"/>
                <w:szCs w:val="18"/>
              </w:rPr>
            </w:pPr>
            <w:r>
              <w:rPr>
                <w:rFonts w:hint="eastAsia" w:ascii="宋体"/>
                <w:sz w:val="18"/>
                <w:szCs w:val="18"/>
              </w:rPr>
              <w:t>定量分析化学概论；化学滴定分析方法；试样的采集与制备；固体试样的分解及分析方法的选择；常用仪器分析方法简介；钢铁及其合金分析；金属材料化学分析实验</w:t>
            </w:r>
          </w:p>
        </w:tc>
        <w:tc>
          <w:tcPr>
            <w:tcW w:w="3008" w:type="pct"/>
            <w:tcBorders>
              <w:left w:val="single" w:color="auto" w:sz="4" w:space="0"/>
            </w:tcBorders>
            <w:vAlign w:val="center"/>
          </w:tcPr>
          <w:p w14:paraId="39CC6B8A">
            <w:pPr>
              <w:snapToGrid w:val="0"/>
              <w:spacing w:line="320" w:lineRule="exact"/>
              <w:rPr>
                <w:rFonts w:ascii="宋体"/>
                <w:sz w:val="18"/>
                <w:szCs w:val="18"/>
              </w:rPr>
            </w:pPr>
            <w:r>
              <w:rPr>
                <w:rFonts w:hint="eastAsia" w:ascii="宋体"/>
                <w:sz w:val="18"/>
                <w:szCs w:val="18"/>
              </w:rPr>
              <w:t>本课程注重培养学生从事分析检测工作的基本技能，提高学生分析和解决实际问题的能力及其综合素质，为将来工作中的实际应用打下坚实的基础。本课程主要使学生掌握材料化学分析的基本原理及测试方法，树立准确的量的概念；对学生进行基本操作技能的训练，培养学生严谨、求实的工作作风和学习态度；使其学会常用材料定性、定量分析检测技术，最终能对材料的原材料、半成品和成品的组成进行准确的定量分析。</w:t>
            </w:r>
          </w:p>
        </w:tc>
      </w:tr>
      <w:tr w14:paraId="7A192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489" w:type="pct"/>
            <w:vAlign w:val="center"/>
          </w:tcPr>
          <w:p w14:paraId="1F9B05DC">
            <w:pPr>
              <w:snapToGrid w:val="0"/>
              <w:spacing w:line="320" w:lineRule="exact"/>
              <w:jc w:val="center"/>
              <w:rPr>
                <w:rFonts w:ascii="宋体"/>
                <w:sz w:val="18"/>
                <w:szCs w:val="18"/>
              </w:rPr>
            </w:pPr>
            <w:r>
              <w:rPr>
                <w:rFonts w:hint="eastAsia" w:ascii="宋体"/>
                <w:sz w:val="18"/>
                <w:szCs w:val="18"/>
              </w:rPr>
              <w:t>工程材料基础</w:t>
            </w:r>
          </w:p>
        </w:tc>
        <w:tc>
          <w:tcPr>
            <w:tcW w:w="1501" w:type="pct"/>
            <w:tcBorders>
              <w:right w:val="single" w:color="auto" w:sz="4" w:space="0"/>
            </w:tcBorders>
            <w:vAlign w:val="center"/>
          </w:tcPr>
          <w:p w14:paraId="6821A4A7">
            <w:pPr>
              <w:snapToGrid w:val="0"/>
              <w:spacing w:line="320" w:lineRule="exact"/>
              <w:rPr>
                <w:rFonts w:ascii="宋体" w:hAnsi="宋体"/>
                <w:szCs w:val="18"/>
              </w:rPr>
            </w:pPr>
            <w:r>
              <w:rPr>
                <w:rFonts w:hint="eastAsia" w:ascii="宋体" w:hAnsi="宋体" w:eastAsia="宋体"/>
                <w:sz w:val="18"/>
                <w:szCs w:val="18"/>
              </w:rPr>
              <w:t>金属材料的性能；金属的晶体结构与结晶；固态合金及相图；铁碳合金相图；钢的热处理；</w:t>
            </w:r>
            <w:r>
              <w:rPr>
                <w:rFonts w:hint="eastAsia" w:ascii="宋体" w:hAnsi="宋体" w:eastAsia="宋体"/>
                <w:szCs w:val="18"/>
              </w:rPr>
              <w:t>非金属材料</w:t>
            </w:r>
          </w:p>
          <w:p w14:paraId="10833EBC">
            <w:pPr>
              <w:snapToGrid w:val="0"/>
              <w:spacing w:line="320" w:lineRule="exact"/>
              <w:rPr>
                <w:rFonts w:ascii="宋体"/>
                <w:sz w:val="18"/>
                <w:szCs w:val="18"/>
              </w:rPr>
            </w:pPr>
          </w:p>
        </w:tc>
        <w:tc>
          <w:tcPr>
            <w:tcW w:w="3008" w:type="pct"/>
            <w:tcBorders>
              <w:left w:val="single" w:color="auto" w:sz="4" w:space="0"/>
            </w:tcBorders>
            <w:vAlign w:val="center"/>
          </w:tcPr>
          <w:p w14:paraId="03C58F29">
            <w:pPr>
              <w:snapToGrid w:val="0"/>
              <w:spacing w:line="320" w:lineRule="exact"/>
              <w:rPr>
                <w:rFonts w:ascii="宋体"/>
                <w:sz w:val="18"/>
                <w:szCs w:val="18"/>
              </w:rPr>
            </w:pPr>
            <w:r>
              <w:rPr>
                <w:rFonts w:hint="eastAsia" w:ascii="宋体" w:hAnsi="宋体" w:eastAsia="宋体" w:cs="宋体"/>
                <w:bCs/>
                <w:color w:val="000000"/>
                <w:sz w:val="18"/>
                <w:szCs w:val="18"/>
              </w:rPr>
              <w:t>掌握有关工程材料尤其是金属材料的基础知识和基础理论，了解常用工程材料的成分、组织和性能之间的关系，具有根据零件的使用性能要求，合理选用材料及正确选定工艺路线的能力。</w:t>
            </w:r>
          </w:p>
        </w:tc>
      </w:tr>
      <w:tr w14:paraId="556F9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489" w:type="pct"/>
            <w:vAlign w:val="center"/>
          </w:tcPr>
          <w:p w14:paraId="282AA432">
            <w:pPr>
              <w:snapToGrid w:val="0"/>
              <w:spacing w:line="320" w:lineRule="exact"/>
              <w:jc w:val="center"/>
              <w:rPr>
                <w:rFonts w:ascii="宋体"/>
                <w:sz w:val="18"/>
                <w:szCs w:val="18"/>
              </w:rPr>
            </w:pPr>
            <w:r>
              <w:rPr>
                <w:rFonts w:hint="eastAsia" w:ascii="宋体"/>
                <w:sz w:val="18"/>
                <w:szCs w:val="18"/>
              </w:rPr>
              <w:t>典型材料项目综合实例</w:t>
            </w:r>
          </w:p>
        </w:tc>
        <w:tc>
          <w:tcPr>
            <w:tcW w:w="1501" w:type="pct"/>
            <w:tcBorders>
              <w:right w:val="single" w:color="auto" w:sz="4" w:space="0"/>
            </w:tcBorders>
            <w:vAlign w:val="center"/>
          </w:tcPr>
          <w:p w14:paraId="109CD7FF">
            <w:pPr>
              <w:snapToGrid w:val="0"/>
              <w:spacing w:line="320" w:lineRule="exact"/>
              <w:rPr>
                <w:rFonts w:ascii="宋体"/>
                <w:sz w:val="18"/>
                <w:szCs w:val="18"/>
              </w:rPr>
            </w:pPr>
            <w:r>
              <w:rPr>
                <w:rFonts w:hint="eastAsia" w:ascii="宋体"/>
                <w:sz w:val="18"/>
                <w:szCs w:val="18"/>
              </w:rPr>
              <w:t>典型金属材料项目综合实例；典型高分子材料项目综合实例；典型激光加工项目综合实例；典型环保材料项目综合实例</w:t>
            </w:r>
          </w:p>
        </w:tc>
        <w:tc>
          <w:tcPr>
            <w:tcW w:w="3008" w:type="pct"/>
            <w:tcBorders>
              <w:left w:val="single" w:color="auto" w:sz="4" w:space="0"/>
            </w:tcBorders>
            <w:vAlign w:val="center"/>
          </w:tcPr>
          <w:p w14:paraId="125E0CC6">
            <w:pPr>
              <w:snapToGrid w:val="0"/>
              <w:spacing w:line="320" w:lineRule="exact"/>
              <w:rPr>
                <w:rFonts w:ascii="宋体"/>
                <w:sz w:val="18"/>
                <w:szCs w:val="18"/>
              </w:rPr>
            </w:pPr>
            <w:r>
              <w:rPr>
                <w:rFonts w:hint="eastAsia" w:ascii="宋体" w:hAnsi="宋体" w:eastAsia="宋体" w:cs="宋体"/>
                <w:bCs/>
                <w:color w:val="000000"/>
                <w:sz w:val="18"/>
                <w:szCs w:val="18"/>
              </w:rPr>
              <w:t>掌握有关典型工程材料尤应用实例，了解常用典型工程材料产品的成分、组织和能之间的关系及其成型工艺。</w:t>
            </w:r>
          </w:p>
        </w:tc>
      </w:tr>
      <w:tr w14:paraId="23D0A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489" w:type="pct"/>
            <w:vAlign w:val="center"/>
          </w:tcPr>
          <w:p w14:paraId="43DA9465">
            <w:pPr>
              <w:snapToGrid w:val="0"/>
              <w:spacing w:line="320" w:lineRule="exact"/>
              <w:jc w:val="center"/>
              <w:rPr>
                <w:rFonts w:ascii="宋体"/>
                <w:sz w:val="18"/>
                <w:szCs w:val="18"/>
              </w:rPr>
            </w:pPr>
            <w:r>
              <w:rPr>
                <w:rFonts w:hint="eastAsia" w:ascii="宋体"/>
                <w:sz w:val="18"/>
                <w:szCs w:val="18"/>
              </w:rPr>
              <w:t>热处理原理与工艺</w:t>
            </w:r>
          </w:p>
        </w:tc>
        <w:tc>
          <w:tcPr>
            <w:tcW w:w="1501" w:type="pct"/>
            <w:tcBorders>
              <w:right w:val="single" w:color="auto" w:sz="4" w:space="0"/>
            </w:tcBorders>
            <w:vAlign w:val="center"/>
          </w:tcPr>
          <w:p w14:paraId="699B823B">
            <w:pPr>
              <w:snapToGrid w:val="0"/>
              <w:spacing w:line="320" w:lineRule="exact"/>
              <w:rPr>
                <w:rFonts w:ascii="宋体" w:hAnsi="宋体" w:cs="宋体"/>
                <w:szCs w:val="18"/>
              </w:rPr>
            </w:pPr>
            <w:r>
              <w:rPr>
                <w:rFonts w:hint="eastAsia" w:ascii="宋体" w:hAnsi="宋体" w:eastAsia="宋体" w:cs="宋体"/>
                <w:sz w:val="18"/>
                <w:szCs w:val="18"/>
              </w:rPr>
              <w:t>钢的加热转变；珠光体转变；马氏体转变；贝氏体转变；钢的过冷奥氏体转变图；钢的过冷奥氏体转变图；钢的退火与正火；</w:t>
            </w:r>
            <w:r>
              <w:rPr>
                <w:rFonts w:hint="eastAsia" w:ascii="宋体" w:hAnsi="宋体" w:eastAsia="宋体" w:cs="宋体"/>
                <w:szCs w:val="18"/>
              </w:rPr>
              <w:t>钢的淬火与正火</w:t>
            </w:r>
          </w:p>
          <w:p w14:paraId="56051B18">
            <w:pPr>
              <w:snapToGrid w:val="0"/>
              <w:spacing w:line="320" w:lineRule="exact"/>
              <w:rPr>
                <w:rFonts w:ascii="宋体"/>
                <w:sz w:val="18"/>
                <w:szCs w:val="18"/>
              </w:rPr>
            </w:pPr>
          </w:p>
        </w:tc>
        <w:tc>
          <w:tcPr>
            <w:tcW w:w="3008" w:type="pct"/>
            <w:tcBorders>
              <w:left w:val="single" w:color="auto" w:sz="4" w:space="0"/>
            </w:tcBorders>
            <w:vAlign w:val="center"/>
          </w:tcPr>
          <w:p w14:paraId="0BAD5848">
            <w:pPr>
              <w:snapToGrid w:val="0"/>
              <w:spacing w:line="320" w:lineRule="exact"/>
              <w:rPr>
                <w:rFonts w:ascii="宋体"/>
                <w:sz w:val="18"/>
                <w:szCs w:val="18"/>
              </w:rPr>
            </w:pPr>
            <w:r>
              <w:rPr>
                <w:rFonts w:hint="eastAsia" w:ascii="宋体" w:hAnsi="宋体" w:eastAsia="宋体" w:cs="宋体"/>
                <w:sz w:val="18"/>
                <w:szCs w:val="18"/>
              </w:rPr>
              <w:t>本课程是高等工科学校材料类专业的一门主干专业技能课，主要讲授钢的加热转变、珠光体转变、马氏体转变、贝氏体转变、钢的过冷奥氏体转变图、淬火钢在回火时的转变、钢的退火与正火、钢的淬火与回火、钢的化学热处理、钢的特种热处理、典型零件的热处理工艺。</w:t>
            </w:r>
          </w:p>
        </w:tc>
      </w:tr>
      <w:tr w14:paraId="600A5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489" w:type="pct"/>
            <w:vAlign w:val="center"/>
          </w:tcPr>
          <w:p w14:paraId="056A7457">
            <w:pPr>
              <w:snapToGrid w:val="0"/>
              <w:spacing w:line="320" w:lineRule="exact"/>
              <w:jc w:val="center"/>
              <w:rPr>
                <w:rFonts w:ascii="宋体"/>
                <w:sz w:val="18"/>
                <w:szCs w:val="18"/>
              </w:rPr>
            </w:pPr>
            <w:r>
              <w:rPr>
                <w:rFonts w:hint="eastAsia" w:ascii="宋体"/>
                <w:sz w:val="18"/>
                <w:szCs w:val="18"/>
              </w:rPr>
              <w:t>有色金属</w:t>
            </w:r>
          </w:p>
        </w:tc>
        <w:tc>
          <w:tcPr>
            <w:tcW w:w="1501" w:type="pct"/>
            <w:tcBorders>
              <w:right w:val="single" w:color="auto" w:sz="4" w:space="0"/>
            </w:tcBorders>
            <w:vAlign w:val="center"/>
          </w:tcPr>
          <w:p w14:paraId="5DFCD4B0">
            <w:pPr>
              <w:pStyle w:val="9"/>
              <w:snapToGrid w:val="0"/>
              <w:spacing w:line="320" w:lineRule="exact"/>
              <w:rPr>
                <w:rFonts w:ascii="宋体" w:hAnsi="宋体" w:cs="??_GB2312"/>
                <w:kern w:val="0"/>
                <w:szCs w:val="18"/>
              </w:rPr>
            </w:pPr>
            <w:r>
              <w:rPr>
                <w:rFonts w:hint="eastAsia" w:ascii="宋体" w:hAnsi="宋体" w:cs="??_GB2312"/>
                <w:kern w:val="0"/>
                <w:szCs w:val="18"/>
              </w:rPr>
              <w:t>绪论；铝及铝合金；镁及镁合金；钛及钛合金；铜及铜合金</w:t>
            </w:r>
          </w:p>
          <w:p w14:paraId="60223A4B">
            <w:pPr>
              <w:snapToGrid w:val="0"/>
              <w:spacing w:line="320" w:lineRule="exact"/>
              <w:rPr>
                <w:rFonts w:ascii="宋体"/>
                <w:sz w:val="18"/>
                <w:szCs w:val="18"/>
              </w:rPr>
            </w:pPr>
          </w:p>
        </w:tc>
        <w:tc>
          <w:tcPr>
            <w:tcW w:w="3008" w:type="pct"/>
            <w:tcBorders>
              <w:left w:val="single" w:color="auto" w:sz="4" w:space="0"/>
            </w:tcBorders>
            <w:vAlign w:val="center"/>
          </w:tcPr>
          <w:p w14:paraId="1F9527BF">
            <w:pPr>
              <w:snapToGrid w:val="0"/>
              <w:spacing w:line="320" w:lineRule="exact"/>
              <w:rPr>
                <w:rFonts w:ascii="宋体"/>
                <w:sz w:val="18"/>
                <w:szCs w:val="18"/>
              </w:rPr>
            </w:pPr>
            <w:r>
              <w:rPr>
                <w:rFonts w:hint="eastAsia" w:ascii="宋体" w:hAnsi="宋体" w:eastAsia="宋体" w:cs="宋体"/>
                <w:sz w:val="18"/>
                <w:szCs w:val="18"/>
              </w:rPr>
              <w:t>本课程的目的是使学生了解有色金属及其热处理工艺应用，主要讲授铝、镁、钛、铜、锌等合金的应用、成形及加工技术，使学生了解常见有色金属的合金化原理、相变及热处理工艺；学习合金的组织、成份与其性能及热处理工艺之间的关系及理论，使学生能够熟悉有色金属的研究、生产工艺制定及生产一线操作。</w:t>
            </w:r>
          </w:p>
        </w:tc>
      </w:tr>
      <w:tr w14:paraId="2C6D8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489" w:type="pct"/>
            <w:vAlign w:val="center"/>
          </w:tcPr>
          <w:p w14:paraId="3FD625BC">
            <w:pPr>
              <w:snapToGrid w:val="0"/>
              <w:spacing w:line="320" w:lineRule="exact"/>
              <w:jc w:val="center"/>
              <w:rPr>
                <w:rFonts w:ascii="宋体"/>
                <w:sz w:val="18"/>
                <w:szCs w:val="18"/>
              </w:rPr>
            </w:pPr>
            <w:r>
              <w:rPr>
                <w:rFonts w:hint="eastAsia" w:ascii="宋体"/>
                <w:sz w:val="18"/>
                <w:szCs w:val="18"/>
              </w:rPr>
              <w:t>合金钢</w:t>
            </w:r>
          </w:p>
        </w:tc>
        <w:tc>
          <w:tcPr>
            <w:tcW w:w="1501" w:type="pct"/>
            <w:tcBorders>
              <w:right w:val="single" w:color="auto" w:sz="4" w:space="0"/>
            </w:tcBorders>
            <w:vAlign w:val="center"/>
          </w:tcPr>
          <w:p w14:paraId="60E72753">
            <w:pPr>
              <w:pStyle w:val="9"/>
              <w:snapToGrid w:val="0"/>
              <w:spacing w:line="320" w:lineRule="exact"/>
              <w:rPr>
                <w:rFonts w:ascii="宋体" w:hAnsi="宋体" w:cs="??_GB2312"/>
                <w:kern w:val="0"/>
                <w:szCs w:val="18"/>
              </w:rPr>
            </w:pPr>
            <w:r>
              <w:rPr>
                <w:rFonts w:hint="eastAsia" w:ascii="宋体" w:hAnsi="宋体" w:cs="??_GB2312"/>
                <w:kern w:val="0"/>
                <w:szCs w:val="18"/>
              </w:rPr>
              <w:t>合金结构钢和工具钢锻造；高速钢和Crl2型模具钢锻造；不锈钢锻造；高温合金锻造；铝合金和镁合金锻造；铜合金锻造；钛合金锻造</w:t>
            </w:r>
          </w:p>
          <w:p w14:paraId="15CCAA77">
            <w:pPr>
              <w:snapToGrid w:val="0"/>
              <w:spacing w:line="320" w:lineRule="exact"/>
              <w:rPr>
                <w:rFonts w:ascii="宋体"/>
                <w:sz w:val="18"/>
                <w:szCs w:val="18"/>
              </w:rPr>
            </w:pPr>
          </w:p>
        </w:tc>
        <w:tc>
          <w:tcPr>
            <w:tcW w:w="3008" w:type="pct"/>
            <w:tcBorders>
              <w:left w:val="single" w:color="auto" w:sz="4" w:space="0"/>
            </w:tcBorders>
            <w:vAlign w:val="center"/>
          </w:tcPr>
          <w:p w14:paraId="74AAFA3D">
            <w:pPr>
              <w:snapToGrid w:val="0"/>
              <w:spacing w:line="320" w:lineRule="exact"/>
              <w:rPr>
                <w:rFonts w:ascii="宋体"/>
                <w:sz w:val="18"/>
                <w:szCs w:val="18"/>
              </w:rPr>
            </w:pPr>
            <w:r>
              <w:rPr>
                <w:rFonts w:hint="eastAsia" w:ascii="宋体" w:hAnsi="宋体" w:eastAsia="宋体" w:cs="宋体"/>
                <w:sz w:val="18"/>
                <w:szCs w:val="18"/>
              </w:rPr>
              <w:t>本课程的目的是使学生了解合金钢的分类、应用及工艺。主要讲授合金结构钢、合金工具钢、高速钢、Cr12型模具钢、不锈钢、高温合金等钢的成份、加工工艺、热处理工艺及其选用，重点是对模具、刀具等工具用合金钢进行讲解。课程将穿插介绍部分新型材料（例如一些复合材料、粉末合金等）的成形加工问题，并注重反映近年来迅速发展的一些难变形材料的加工新工艺、新技术等。</w:t>
            </w:r>
          </w:p>
        </w:tc>
      </w:tr>
      <w:tr w14:paraId="3824B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489" w:type="pct"/>
            <w:vAlign w:val="center"/>
          </w:tcPr>
          <w:p w14:paraId="7EE33FCE">
            <w:pPr>
              <w:snapToGrid w:val="0"/>
              <w:spacing w:line="320" w:lineRule="exact"/>
              <w:jc w:val="center"/>
              <w:rPr>
                <w:rFonts w:ascii="宋体"/>
                <w:sz w:val="18"/>
                <w:szCs w:val="18"/>
              </w:rPr>
            </w:pPr>
            <w:r>
              <w:rPr>
                <w:rFonts w:hint="eastAsia" w:ascii="宋体"/>
                <w:sz w:val="18"/>
                <w:szCs w:val="18"/>
              </w:rPr>
              <w:t>材料成型加工工艺与设备</w:t>
            </w:r>
          </w:p>
        </w:tc>
        <w:tc>
          <w:tcPr>
            <w:tcW w:w="1501" w:type="pct"/>
            <w:tcBorders>
              <w:right w:val="single" w:color="auto" w:sz="4" w:space="0"/>
            </w:tcBorders>
            <w:vAlign w:val="center"/>
          </w:tcPr>
          <w:p w14:paraId="27FE042B">
            <w:pPr>
              <w:snapToGrid w:val="0"/>
              <w:spacing w:line="320" w:lineRule="exact"/>
              <w:rPr>
                <w:rFonts w:ascii="宋体" w:hAnsi="宋体" w:cs="Arial"/>
                <w:color w:val="333333"/>
                <w:szCs w:val="18"/>
                <w:shd w:val="clear" w:color="auto" w:fill="FFFFFF"/>
              </w:rPr>
            </w:pPr>
            <w:r>
              <w:rPr>
                <w:rFonts w:hint="eastAsia" w:ascii="宋体" w:hAnsi="宋体" w:eastAsia="宋体" w:cs="Arial"/>
                <w:color w:val="333333"/>
                <w:sz w:val="18"/>
                <w:szCs w:val="18"/>
                <w:shd w:val="clear" w:color="auto" w:fill="FFFFFF"/>
              </w:rPr>
              <w:t>绪论；液态金属铸造成形；固态金属塑性成形；金属连接成形；高分子材料及复合材料成形；粉末冶金及陶瓷成形技术；</w:t>
            </w:r>
            <w:r>
              <w:rPr>
                <w:rFonts w:hint="eastAsia" w:ascii="宋体" w:hAnsi="宋体" w:eastAsia="宋体" w:cs="Arial"/>
                <w:color w:val="333333"/>
                <w:szCs w:val="18"/>
                <w:shd w:val="clear" w:color="auto" w:fill="FFFFFF"/>
              </w:rPr>
              <w:t>表面技术</w:t>
            </w:r>
          </w:p>
          <w:p w14:paraId="706208E8">
            <w:pPr>
              <w:snapToGrid w:val="0"/>
              <w:spacing w:line="320" w:lineRule="exact"/>
              <w:rPr>
                <w:rFonts w:ascii="宋体"/>
                <w:sz w:val="18"/>
                <w:szCs w:val="18"/>
              </w:rPr>
            </w:pPr>
          </w:p>
        </w:tc>
        <w:tc>
          <w:tcPr>
            <w:tcW w:w="3008" w:type="pct"/>
            <w:tcBorders>
              <w:left w:val="single" w:color="auto" w:sz="4" w:space="0"/>
            </w:tcBorders>
            <w:vAlign w:val="center"/>
          </w:tcPr>
          <w:p w14:paraId="65E3D6E1">
            <w:pPr>
              <w:snapToGrid w:val="0"/>
              <w:spacing w:line="320" w:lineRule="exact"/>
              <w:rPr>
                <w:rFonts w:ascii="宋体"/>
                <w:sz w:val="18"/>
                <w:szCs w:val="18"/>
              </w:rPr>
            </w:pPr>
            <w:r>
              <w:rPr>
                <w:rFonts w:hint="eastAsia" w:ascii="宋体" w:hAnsi="宋体" w:eastAsia="宋体" w:cs="宋体"/>
                <w:sz w:val="18"/>
                <w:szCs w:val="18"/>
              </w:rPr>
              <w:t>本课程讲授金属材料、高分子材料、无机非金属材料及其新材料成型加工工艺与设备。从材料液态成型到固态成型来阐述各种不同材料的成型加工工艺及所需设备和模具。本课程注重从理论结合实践，从正确选择材料、应用材料，并通过选择恰当的成型加工工艺和机械设备、制造合格的材料制品等方面，为学生提供较为完整加工工艺与设备的技术性课程。</w:t>
            </w:r>
          </w:p>
        </w:tc>
      </w:tr>
      <w:tr w14:paraId="72051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489" w:type="pct"/>
            <w:vAlign w:val="center"/>
          </w:tcPr>
          <w:p w14:paraId="422CB80D">
            <w:pPr>
              <w:snapToGrid w:val="0"/>
              <w:spacing w:line="320" w:lineRule="exact"/>
              <w:rPr>
                <w:rFonts w:ascii="宋体"/>
                <w:sz w:val="18"/>
                <w:szCs w:val="18"/>
              </w:rPr>
            </w:pPr>
            <w:r>
              <w:rPr>
                <w:rFonts w:hint="eastAsia" w:ascii="宋体" w:hAnsi="宋体" w:eastAsia="宋体" w:cs="宋体"/>
                <w:sz w:val="18"/>
                <w:szCs w:val="18"/>
              </w:rPr>
              <w:t>产品检测与质量控制</w:t>
            </w:r>
          </w:p>
        </w:tc>
        <w:tc>
          <w:tcPr>
            <w:tcW w:w="1501" w:type="pct"/>
            <w:tcBorders>
              <w:right w:val="single" w:color="auto" w:sz="4" w:space="0"/>
            </w:tcBorders>
            <w:vAlign w:val="center"/>
          </w:tcPr>
          <w:p w14:paraId="37E0607E">
            <w:pPr>
              <w:snapToGrid w:val="0"/>
              <w:spacing w:line="320" w:lineRule="exact"/>
              <w:rPr>
                <w:rFonts w:ascii="宋体"/>
                <w:sz w:val="18"/>
                <w:szCs w:val="18"/>
              </w:rPr>
            </w:pPr>
            <w:r>
              <w:rPr>
                <w:rFonts w:hint="eastAsia" w:ascii="宋体" w:hAnsi="宋体" w:eastAsia="宋体" w:cs="宋体"/>
                <w:sz w:val="18"/>
                <w:szCs w:val="18"/>
              </w:rPr>
              <w:t>绪论；质量管理概论；标准与标准化；质量管理工具；产品抽查、检测与实例分析、质量管理在检测中的运用。</w:t>
            </w:r>
          </w:p>
        </w:tc>
        <w:tc>
          <w:tcPr>
            <w:tcW w:w="3008" w:type="pct"/>
            <w:tcBorders>
              <w:left w:val="single" w:color="auto" w:sz="4" w:space="0"/>
            </w:tcBorders>
            <w:vAlign w:val="center"/>
          </w:tcPr>
          <w:p w14:paraId="420C7C65">
            <w:pPr>
              <w:snapToGrid w:val="0"/>
              <w:spacing w:line="320" w:lineRule="exact"/>
              <w:rPr>
                <w:rFonts w:ascii="宋体" w:hAnsi="宋体" w:cs="宋体"/>
                <w:sz w:val="18"/>
                <w:szCs w:val="18"/>
              </w:rPr>
            </w:pPr>
            <w:r>
              <w:rPr>
                <w:rFonts w:hint="eastAsia" w:ascii="宋体" w:hAnsi="宋体" w:eastAsia="宋体" w:cs="宋体"/>
                <w:sz w:val="18"/>
                <w:szCs w:val="18"/>
              </w:rPr>
              <w:t>通过本课程的学习，能够依据标准规范地开展产品检测和数据处理，并能够分析影响产品检测结果的各个因素，综合提升产品检测能力；能够较为系统地掌握产品检测与质量管理的理论、原则和方法，在企业活动中达到质量控制和提高企业经济效益的目的。</w:t>
            </w:r>
          </w:p>
        </w:tc>
      </w:tr>
    </w:tbl>
    <w:p w14:paraId="16D9E94B">
      <w:pPr>
        <w:rPr>
          <w:rFonts w:ascii="宋体" w:hAnsi="宋体" w:eastAsia="宋体" w:cs="宋体"/>
          <w:bCs/>
          <w:sz w:val="24"/>
        </w:rPr>
      </w:pPr>
    </w:p>
    <w:p w14:paraId="3DEB280F">
      <w:pPr>
        <w:rPr>
          <w:rFonts w:ascii="宋体" w:hAnsi="宋体" w:eastAsia="宋体" w:cs="宋体"/>
          <w:bCs/>
          <w:sz w:val="24"/>
        </w:rPr>
      </w:pPr>
      <w:r>
        <w:rPr>
          <w:rFonts w:hint="eastAsia" w:ascii="宋体" w:hAnsi="宋体" w:eastAsia="宋体" w:cs="宋体"/>
          <w:bCs/>
          <w:sz w:val="24"/>
        </w:rPr>
        <w:t>如有调整，以最新为准。</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ngsana New">
    <w:altName w:val="Microsoft Sans Serif"/>
    <w:panose1 w:val="02020603050405020304"/>
    <w:charset w:val="DE"/>
    <w:family w:val="roman"/>
    <w:pitch w:val="default"/>
    <w:sig w:usb0="00000000" w:usb1="00000000" w:usb2="00000000" w:usb3="00000000" w:csb0="00010001" w:csb1="00000000"/>
  </w:font>
  <w:font w:name="??_GB2312">
    <w:altName w:val="Times New Roman"/>
    <w:panose1 w:val="00000000000000000000"/>
    <w:charset w:val="00"/>
    <w:family w:val="auto"/>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B847A">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DB2483">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1DB2483">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91684"/>
    <w:rsid w:val="00034376"/>
    <w:rsid w:val="000D6CB3"/>
    <w:rsid w:val="001C468E"/>
    <w:rsid w:val="004D6CE3"/>
    <w:rsid w:val="00751085"/>
    <w:rsid w:val="007D3B5D"/>
    <w:rsid w:val="009327CD"/>
    <w:rsid w:val="00AE1703"/>
    <w:rsid w:val="00B44D8C"/>
    <w:rsid w:val="00B91C1E"/>
    <w:rsid w:val="00C33866"/>
    <w:rsid w:val="00D53FC2"/>
    <w:rsid w:val="00E04D7A"/>
    <w:rsid w:val="00E07DC7"/>
    <w:rsid w:val="04D5637C"/>
    <w:rsid w:val="16521380"/>
    <w:rsid w:val="1D061E52"/>
    <w:rsid w:val="41336AA3"/>
    <w:rsid w:val="415D3E87"/>
    <w:rsid w:val="666C3121"/>
    <w:rsid w:val="6DE91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First Indent"/>
    <w:basedOn w:val="3"/>
    <w:qFormat/>
    <w:uiPriority w:val="0"/>
    <w:pPr>
      <w:ind w:firstLine="420" w:firstLineChars="1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表格内容"/>
    <w:basedOn w:val="1"/>
    <w:qFormat/>
    <w:uiPriority w:val="0"/>
    <w:pPr>
      <w:jc w:val="left"/>
    </w:pPr>
    <w:rPr>
      <w:rFonts w:ascii="Times New Roman" w:hAnsi="Times New Roman" w:eastAsia="宋体" w:cs="Times New Roman"/>
      <w:sz w:val="18"/>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1551</Words>
  <Characters>1557</Characters>
  <Lines>11</Lines>
  <Paragraphs>3</Paragraphs>
  <TotalTime>4</TotalTime>
  <ScaleCrop>false</ScaleCrop>
  <LinksUpToDate>false</LinksUpToDate>
  <CharactersWithSpaces>1557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2025-05-14T05:52:00Z</dcterms:created>
  <dc:creator>江</dc:creator>
  <cp:lastModifiedBy>江</cp:lastModifiedBy>
  <dcterms:modified xsi:type="dcterms:W3CDTF">2025-05-16T01:33:37Z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1EEAD3D30DFF4A3381B63573DB58BED9_11</vt:lpwstr>
  </property>
  <property fmtid="{D5CDD505-2E9C-101B-9397-08002B2CF9AE}" pid="4" name="KSOTemplateDocerSaveRecord">
    <vt:lpwstr>eyJoZGlkIjoiMTM4OTY5MWY0ZWQ2MGU3MzBhNTNhYmE5YjQ2ZDQxMGEiLCJ1c2VySWQiOiIyMzU1NjY3MjkifQ==</vt:lpwstr>
  </property>
</Properties>
</file>