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6E99">
      <w:pPr>
        <w:jc w:val="center"/>
        <w:rPr>
          <w:rFonts w:hint="eastAsia"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机械制造及自动化中高职一体化（两年制）专业</w:t>
      </w:r>
    </w:p>
    <w:p w14:paraId="37173CD3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主要课程</w:t>
      </w:r>
    </w:p>
    <w:p w14:paraId="167977F5">
      <w:pPr>
        <w:jc w:val="center"/>
        <w:rPr>
          <w:rFonts w:ascii="宋体" w:hAnsi="宋体" w:eastAsia="宋体" w:cs="宋体"/>
          <w:bCs/>
          <w:sz w:val="24"/>
        </w:rPr>
      </w:pPr>
    </w:p>
    <w:p w14:paraId="570306F3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机械制造及自动化中高职一体化（两年制）专业的主要课程、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6D8AF7C1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113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085"/>
        <w:gridCol w:w="6383"/>
      </w:tblGrid>
      <w:tr w14:paraId="0321B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E66700C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主要课程</w:t>
            </w:r>
          </w:p>
        </w:tc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DC35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主要内容</w:t>
            </w:r>
          </w:p>
        </w:tc>
        <w:tc>
          <w:tcPr>
            <w:tcW w:w="2808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4D551F5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教学要求</w:t>
            </w:r>
          </w:p>
        </w:tc>
      </w:tr>
      <w:tr w14:paraId="6AF31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521812E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机械产品创新设计</w:t>
            </w:r>
          </w:p>
        </w:tc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7016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机械创新设计的表达方法、功能原理创新设计、机构创新设计、结构创新设计</w:t>
            </w:r>
          </w:p>
        </w:tc>
        <w:tc>
          <w:tcPr>
            <w:tcW w:w="2808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8C74E90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在教学中运用机械中的常用机构及通用零、部件，分析研究其工作原理、结构特点、运动和动力性能、基本设计理论、计算方法以及一些零部件的选用和维护</w:t>
            </w:r>
          </w:p>
        </w:tc>
      </w:tr>
      <w:tr w14:paraId="51733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95ED94F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机械设计基础</w:t>
            </w:r>
          </w:p>
        </w:tc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36B9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机械常用零件设计、机械常用部件选用设计、平面运动机构、间歇运动机构、齿轮传动</w:t>
            </w:r>
          </w:p>
        </w:tc>
        <w:tc>
          <w:tcPr>
            <w:tcW w:w="2808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0FB6100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了解常用机构及通用零部件的工作原理、类型、特点及应用等知识；掌握常用机构的基本理论，掌握通用零部件的失效形式、设计准则与设计方法；具备机械设计实验技能和设计简单机械及传动装置的基本技能。</w:t>
            </w:r>
          </w:p>
        </w:tc>
      </w:tr>
      <w:tr w14:paraId="6074E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A9A422C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工程图学与CAD</w:t>
            </w:r>
          </w:p>
        </w:tc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BD02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点线面投影、机件常用的表达方法、标准件和常用件的规定画法、零件图装配图的绘制与阅读方法；C</w:t>
            </w:r>
            <w:r>
              <w:rPr>
                <w:rFonts w:ascii="宋体"/>
                <w:sz w:val="18"/>
                <w:szCs w:val="18"/>
              </w:rPr>
              <w:t>AD</w:t>
            </w:r>
            <w:r>
              <w:rPr>
                <w:rFonts w:hint="eastAsia" w:ascii="宋体"/>
                <w:sz w:val="18"/>
                <w:szCs w:val="18"/>
              </w:rPr>
              <w:t>软件绘图方法</w:t>
            </w:r>
          </w:p>
        </w:tc>
        <w:tc>
          <w:tcPr>
            <w:tcW w:w="2808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A184C45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要牢固掌握投影原理和图示方法，理解基本概念；培养空间想象能力和构思能力；掌握正确查阅和使用有关手册的方法；能正确绘制和阅读中等复杂程度的零件图和装配图；能熟练使用AutoCAD完成图样绘制。</w:t>
            </w:r>
          </w:p>
        </w:tc>
      </w:tr>
      <w:tr w14:paraId="47004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5C42D89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数控机</w:t>
            </w:r>
            <w:bookmarkStart w:id="0" w:name="_GoBack"/>
            <w:bookmarkEnd w:id="0"/>
            <w:r>
              <w:rPr>
                <w:rFonts w:hint="eastAsia" w:ascii="宋体"/>
                <w:sz w:val="18"/>
                <w:szCs w:val="18"/>
              </w:rPr>
              <w:t>床操作及编程实践</w:t>
            </w:r>
          </w:p>
        </w:tc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C5A6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数控车、加工中心（铣）等设备的手工及计算机辅助编程；数控车、加工中心（铣）等设备的操作；数控加工的刀具选用及加工工艺确定等实践</w:t>
            </w:r>
          </w:p>
        </w:tc>
        <w:tc>
          <w:tcPr>
            <w:tcW w:w="2808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0B851D5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掌握数控加工的编程和操作技能，并达到数控加工操作中级工等级要求。</w:t>
            </w:r>
          </w:p>
        </w:tc>
      </w:tr>
      <w:tr w14:paraId="2B2C8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1C7F615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数控机床故障诊断与维护</w:t>
            </w:r>
          </w:p>
        </w:tc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EDC1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数控机床的安装调试及保养维修、数控机床的功能开发、数控机床参数设置</w:t>
            </w:r>
          </w:p>
        </w:tc>
        <w:tc>
          <w:tcPr>
            <w:tcW w:w="2808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D372E3A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要求学生掌握数控机床机械结构、机械传动及电气控制部分的工作原理及设计方法；熟悉数控机床的各种技术参数；握数控机床伺服系统的构成及分析方法，以及数控机床位置检测系统的工作原理。</w:t>
            </w:r>
          </w:p>
        </w:tc>
      </w:tr>
      <w:tr w14:paraId="39402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631533B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机电产品营销</w:t>
            </w:r>
          </w:p>
        </w:tc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9018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市场细分与目标市场策略、消费心理及消费者购买行为、定价策略、分销渠道策略、营销策划书撰写</w:t>
            </w:r>
          </w:p>
        </w:tc>
        <w:tc>
          <w:tcPr>
            <w:tcW w:w="2808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6056E2B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牢固掌握现代市场营销的基本理论、原理、方法、手段和工具；学会运用案例进行分析，具备运用现代市场营销知识来解决实际问题；为今后从事机电产品营销工作提供思维方法和技巧</w:t>
            </w:r>
          </w:p>
        </w:tc>
      </w:tr>
      <w:tr w14:paraId="7D447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871CC88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企业管理</w:t>
            </w:r>
          </w:p>
        </w:tc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1B17">
            <w:pPr>
              <w:snapToGrid w:val="0"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行为科学理论；管理会计；工程经济分析；价值工程简介；质量管理及质量体系认证</w:t>
            </w:r>
          </w:p>
        </w:tc>
        <w:tc>
          <w:tcPr>
            <w:tcW w:w="2808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22052FD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掌握企业管理的基本概念，基本理论，了解管理思想及理论的形成及发展，掌握现代企业管理的发展趋势；系统掌握企业管理的基本职能、基本方法、基本规律，培养学生从事管理工作的实际能力；全面了解企业管理的各环节和流程，包括企业管理制度、经营战略、营销策略、生产运作等，使学生将来能更快更好地适应工作环境。</w:t>
            </w:r>
          </w:p>
        </w:tc>
      </w:tr>
    </w:tbl>
    <w:p w14:paraId="039800C9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C805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8B33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8B33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144254"/>
    <w:rsid w:val="001C55DA"/>
    <w:rsid w:val="004C16E1"/>
    <w:rsid w:val="004D6CE3"/>
    <w:rsid w:val="007C0AF1"/>
    <w:rsid w:val="0089370B"/>
    <w:rsid w:val="008C1AB4"/>
    <w:rsid w:val="008E21C4"/>
    <w:rsid w:val="009327CD"/>
    <w:rsid w:val="009A66B1"/>
    <w:rsid w:val="00A02120"/>
    <w:rsid w:val="00A52673"/>
    <w:rsid w:val="00B34483"/>
    <w:rsid w:val="00B44D8C"/>
    <w:rsid w:val="00D53FC2"/>
    <w:rsid w:val="00E90825"/>
    <w:rsid w:val="025C1BB3"/>
    <w:rsid w:val="032A0480"/>
    <w:rsid w:val="04D5637C"/>
    <w:rsid w:val="0B4C53FC"/>
    <w:rsid w:val="1D061E52"/>
    <w:rsid w:val="41336AA3"/>
    <w:rsid w:val="55592760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1042</Words>
  <Characters>1052</Characters>
  <Lines>7</Lines>
  <Paragraphs>2</Paragraphs>
  <TotalTime>3</TotalTime>
  <ScaleCrop>false</ScaleCrop>
  <LinksUpToDate>false</LinksUpToDate>
  <CharactersWithSpaces>1052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2025-05-19T07:03:56Z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