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F19DE">
      <w:pPr>
        <w:jc w:val="center"/>
        <w:rPr>
          <w:rFonts w:ascii="黑体" w:hAnsi="Times New Roman" w:eastAsia="黑体" w:cs="Times New Roman"/>
          <w:bCs/>
          <w:kern w:val="44"/>
          <w:sz w:val="36"/>
          <w:szCs w:val="36"/>
        </w:rPr>
      </w:pPr>
      <w:r>
        <w:rPr>
          <w:rFonts w:hint="eastAsia" w:ascii="黑体" w:hAnsi="黑体" w:eastAsia="黑体" w:cs="黑体"/>
          <w:sz w:val="36"/>
          <w:szCs w:val="36"/>
        </w:rPr>
        <w:t>商务数据分析与应用专业</w:t>
      </w:r>
      <w:r>
        <w:rPr>
          <w:rFonts w:hint="eastAsia" w:ascii="黑体" w:hAnsi="Times New Roman" w:eastAsia="黑体" w:cs="Times New Roman"/>
          <w:bCs/>
          <w:kern w:val="44"/>
          <w:sz w:val="36"/>
          <w:szCs w:val="36"/>
        </w:rPr>
        <w:t>主要课程</w:t>
      </w:r>
    </w:p>
    <w:p w14:paraId="7720998B">
      <w:pPr>
        <w:jc w:val="center"/>
        <w:rPr>
          <w:rFonts w:ascii="宋体" w:hAnsi="宋体" w:eastAsia="宋体" w:cs="宋体"/>
          <w:bCs/>
          <w:sz w:val="24"/>
        </w:rPr>
      </w:pPr>
    </w:p>
    <w:p w14:paraId="4213A032">
      <w:pPr>
        <w:adjustRightInd w:val="0"/>
        <w:snapToGrid w:val="0"/>
        <w:spacing w:line="360" w:lineRule="auto"/>
        <w:ind w:firstLine="480" w:firstLineChars="200"/>
        <w:rPr>
          <w:rFonts w:ascii="宋体" w:hAnsi="宋体" w:cs="Angsana New"/>
          <w:iCs/>
          <w:sz w:val="24"/>
          <w:lang w:bidi="th-TH"/>
        </w:rPr>
      </w:pPr>
      <w:r>
        <w:rPr>
          <w:rFonts w:hint="eastAsia" w:ascii="宋体" w:hAnsi="宋体" w:eastAsia="宋体" w:cs="Angsana New"/>
          <w:iCs/>
          <w:sz w:val="24"/>
          <w:lang w:bidi="th-TH"/>
        </w:rPr>
        <w:t>商务数据分析与应用专业的主要课程、</w:t>
      </w:r>
      <w:r>
        <w:rPr>
          <w:rFonts w:hint="eastAsia" w:ascii="宋体" w:hAnsi="宋体" w:cs="Angsana New"/>
          <w:iCs/>
          <w:sz w:val="24"/>
          <w:lang w:bidi="th-TH"/>
        </w:rPr>
        <w:t>课程的主要内容、教学要求如下表所示：</w:t>
      </w:r>
    </w:p>
    <w:p w14:paraId="32B770E4">
      <w:pPr>
        <w:jc w:val="center"/>
        <w:rPr>
          <w:rFonts w:ascii="宋体" w:hAnsi="宋体" w:eastAsia="宋体" w:cs="宋体"/>
          <w:bCs/>
          <w:sz w:val="24"/>
        </w:rPr>
      </w:pPr>
    </w:p>
    <w:tbl>
      <w:tblPr>
        <w:tblStyle w:val="9"/>
        <w:tblW w:w="500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663"/>
        <w:gridCol w:w="2928"/>
        <w:gridCol w:w="2947"/>
      </w:tblGrid>
      <w:tr w14:paraId="0FCD08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55" w:hRule="atLeast"/>
          <w:jc w:val="center"/>
        </w:trPr>
        <w:tc>
          <w:tcPr>
            <w:tcW w:w="1559" w:type="pct"/>
            <w:tcBorders>
              <w:bottom w:val="single" w:color="auto" w:sz="4" w:space="0"/>
            </w:tcBorders>
            <w:vAlign w:val="center"/>
          </w:tcPr>
          <w:p w14:paraId="20027205">
            <w:pPr>
              <w:snapToGrid w:val="0"/>
              <w:jc w:val="center"/>
              <w:textAlignment w:val="baseline"/>
              <w:rPr>
                <w:rFonts w:ascii="宋体"/>
                <w:b/>
                <w:bCs/>
                <w:sz w:val="20"/>
                <w:szCs w:val="21"/>
              </w:rPr>
            </w:pPr>
            <w:bookmarkStart w:id="0" w:name="_GoBack"/>
            <w:r>
              <w:rPr>
                <w:rFonts w:hint="eastAsia" w:ascii="宋体"/>
                <w:b/>
                <w:bCs/>
                <w:szCs w:val="21"/>
              </w:rPr>
              <w:t>主要课程</w:t>
            </w:r>
          </w:p>
        </w:tc>
        <w:tc>
          <w:tcPr>
            <w:tcW w:w="1714" w:type="pct"/>
            <w:tcBorders>
              <w:bottom w:val="single" w:color="auto" w:sz="4" w:space="0"/>
              <w:right w:val="single" w:color="auto" w:sz="4" w:space="0"/>
            </w:tcBorders>
            <w:vAlign w:val="center"/>
          </w:tcPr>
          <w:p w14:paraId="35D9C096">
            <w:pPr>
              <w:snapToGrid w:val="0"/>
              <w:jc w:val="center"/>
              <w:textAlignment w:val="baseline"/>
              <w:rPr>
                <w:rFonts w:ascii="宋体"/>
                <w:b/>
                <w:bCs/>
                <w:sz w:val="20"/>
                <w:szCs w:val="21"/>
              </w:rPr>
            </w:pPr>
            <w:r>
              <w:rPr>
                <w:rFonts w:hint="eastAsia" w:ascii="宋体"/>
                <w:b/>
                <w:bCs/>
                <w:szCs w:val="21"/>
              </w:rPr>
              <w:t>主要内容</w:t>
            </w:r>
          </w:p>
        </w:tc>
        <w:tc>
          <w:tcPr>
            <w:tcW w:w="1725" w:type="pct"/>
            <w:tcBorders>
              <w:left w:val="single" w:color="auto" w:sz="4" w:space="0"/>
              <w:bottom w:val="single" w:color="auto" w:sz="4" w:space="0"/>
            </w:tcBorders>
            <w:vAlign w:val="center"/>
          </w:tcPr>
          <w:p w14:paraId="4C32A11D">
            <w:pPr>
              <w:snapToGrid w:val="0"/>
              <w:jc w:val="center"/>
              <w:textAlignment w:val="baseline"/>
              <w:rPr>
                <w:rFonts w:ascii="宋体"/>
                <w:b/>
                <w:bCs/>
                <w:sz w:val="20"/>
                <w:szCs w:val="21"/>
              </w:rPr>
            </w:pPr>
            <w:r>
              <w:rPr>
                <w:rFonts w:hint="eastAsia" w:ascii="宋体"/>
                <w:b/>
                <w:bCs/>
                <w:szCs w:val="21"/>
              </w:rPr>
              <w:t>教学要求</w:t>
            </w:r>
          </w:p>
        </w:tc>
      </w:tr>
      <w:tr w14:paraId="09801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89" w:hRule="atLeast"/>
          <w:jc w:val="center"/>
        </w:trPr>
        <w:tc>
          <w:tcPr>
            <w:tcW w:w="1559" w:type="pct"/>
            <w:vAlign w:val="center"/>
          </w:tcPr>
          <w:p w14:paraId="4B75B566">
            <w:pPr>
              <w:snapToGrid w:val="0"/>
              <w:textAlignment w:val="baseline"/>
              <w:rPr>
                <w:kern w:val="0"/>
                <w:sz w:val="22"/>
              </w:rPr>
            </w:pPr>
            <w:r>
              <w:rPr>
                <w:rFonts w:hint="eastAsia"/>
                <w:kern w:val="0"/>
                <w:sz w:val="22"/>
              </w:rPr>
              <w:t>商务数据分析与应用、应用统计学、多元统计分析、</w:t>
            </w:r>
            <w:r>
              <w:rPr>
                <w:kern w:val="0"/>
                <w:sz w:val="22"/>
              </w:rPr>
              <w:t>Python</w:t>
            </w:r>
            <w:r>
              <w:rPr>
                <w:rFonts w:hint="eastAsia"/>
                <w:kern w:val="0"/>
                <w:sz w:val="22"/>
              </w:rPr>
              <w:t>数据分析与应用、数据可视化、考证实训（电子商务数据分析）、供应链数据分析、数据库技术与应用、数据采集与处理、数据挖掘</w:t>
            </w:r>
          </w:p>
        </w:tc>
        <w:tc>
          <w:tcPr>
            <w:tcW w:w="1714" w:type="pct"/>
            <w:tcBorders>
              <w:right w:val="single" w:color="auto" w:sz="4" w:space="0"/>
            </w:tcBorders>
            <w:vAlign w:val="center"/>
          </w:tcPr>
          <w:p w14:paraId="7050318A">
            <w:pPr>
              <w:pStyle w:val="7"/>
              <w:rPr>
                <w:rFonts w:ascii="Times New Roman" w:hAnsi="Times New Roman" w:cs="Times New Roman"/>
                <w:sz w:val="22"/>
                <w:szCs w:val="22"/>
              </w:rPr>
            </w:pPr>
            <w:r>
              <w:rPr>
                <w:rFonts w:hint="eastAsia" w:ascii="Times New Roman" w:hAnsi="Times New Roman" w:cs="Times New Roman"/>
                <w:sz w:val="22"/>
                <w:szCs w:val="22"/>
              </w:rPr>
              <w:t>根据业务需要,对数据进行分析和初步运用数据模型的能力，能根据业务需要,对数据进行分析。运用企业级数据可视化工具对已分析出的项目数据结果进行展现及数据可视化的能力</w:t>
            </w:r>
          </w:p>
        </w:tc>
        <w:tc>
          <w:tcPr>
            <w:tcW w:w="1725" w:type="pct"/>
            <w:tcBorders>
              <w:left w:val="single" w:color="auto" w:sz="4" w:space="0"/>
            </w:tcBorders>
            <w:vAlign w:val="center"/>
          </w:tcPr>
          <w:p w14:paraId="01CCD32B">
            <w:pPr>
              <w:snapToGrid w:val="0"/>
              <w:jc w:val="left"/>
              <w:textAlignment w:val="baseline"/>
              <w:rPr>
                <w:kern w:val="0"/>
                <w:sz w:val="22"/>
              </w:rPr>
            </w:pPr>
            <w:r>
              <w:rPr>
                <w:rFonts w:hint="eastAsia"/>
                <w:kern w:val="0"/>
                <w:sz w:val="22"/>
              </w:rPr>
              <w:t>理论讲授并安排若干实训项目，提高学生数据分析能力，熟练掌握数理统计分析基本方法。</w:t>
            </w:r>
          </w:p>
        </w:tc>
      </w:tr>
      <w:tr w14:paraId="32FF1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44" w:hRule="atLeast"/>
          <w:jc w:val="center"/>
        </w:trPr>
        <w:tc>
          <w:tcPr>
            <w:tcW w:w="1559" w:type="pct"/>
            <w:vAlign w:val="center"/>
          </w:tcPr>
          <w:p w14:paraId="26E7C7AF">
            <w:pPr>
              <w:snapToGrid w:val="0"/>
              <w:jc w:val="left"/>
              <w:textAlignment w:val="baseline"/>
              <w:rPr>
                <w:kern w:val="0"/>
                <w:sz w:val="22"/>
              </w:rPr>
            </w:pPr>
            <w:r>
              <w:rPr>
                <w:rFonts w:hint="eastAsia"/>
                <w:kern w:val="0"/>
                <w:sz w:val="22"/>
              </w:rPr>
              <w:t>网店运营与推广、电子商务概论、市场调研与预测、新媒体运营、数字营销技术、企业管理</w:t>
            </w:r>
          </w:p>
        </w:tc>
        <w:tc>
          <w:tcPr>
            <w:tcW w:w="1714" w:type="pct"/>
            <w:tcBorders>
              <w:right w:val="single" w:color="auto" w:sz="4" w:space="0"/>
            </w:tcBorders>
            <w:vAlign w:val="center"/>
          </w:tcPr>
          <w:p w14:paraId="4B038F4C">
            <w:pPr>
              <w:pStyle w:val="8"/>
              <w:rPr>
                <w:sz w:val="22"/>
              </w:rPr>
            </w:pPr>
            <w:r>
              <w:rPr>
                <w:rFonts w:hint="eastAsia"/>
                <w:sz w:val="22"/>
              </w:rPr>
              <w:t>培养运营数据分析的能力,能够对客服绩效指标、推广数据、产品数据、企业运营数据、新媒体数据、电商平台的特有指标进行分析和预测,并提出相关运营建议。</w:t>
            </w:r>
          </w:p>
        </w:tc>
        <w:tc>
          <w:tcPr>
            <w:tcW w:w="1725" w:type="pct"/>
            <w:tcBorders>
              <w:left w:val="single" w:color="auto" w:sz="4" w:space="0"/>
            </w:tcBorders>
            <w:vAlign w:val="center"/>
          </w:tcPr>
          <w:p w14:paraId="3A90566E">
            <w:pPr>
              <w:snapToGrid w:val="0"/>
              <w:jc w:val="left"/>
              <w:textAlignment w:val="baseline"/>
              <w:rPr>
                <w:kern w:val="0"/>
                <w:sz w:val="22"/>
              </w:rPr>
            </w:pPr>
            <w:r>
              <w:rPr>
                <w:rFonts w:hint="eastAsia"/>
                <w:kern w:val="0"/>
                <w:sz w:val="22"/>
              </w:rPr>
              <w:t>理论与实践相结合，理论讲授并安排若干实训项目，部分单元聘请企业导师授课，提高学生的动手能力，加深对网店营销和推广方法的运用能力。</w:t>
            </w:r>
          </w:p>
        </w:tc>
      </w:tr>
      <w:bookmarkEnd w:id="0"/>
    </w:tbl>
    <w:p w14:paraId="611A6FBB">
      <w:pPr>
        <w:rPr>
          <w:rFonts w:ascii="宋体" w:hAnsi="宋体" w:eastAsia="宋体" w:cs="宋体"/>
          <w:bCs/>
          <w:sz w:val="24"/>
        </w:rPr>
      </w:pPr>
    </w:p>
    <w:p w14:paraId="5A57E0AB">
      <w:pPr>
        <w:rPr>
          <w:rFonts w:ascii="宋体" w:hAnsi="宋体" w:eastAsia="宋体" w:cs="宋体"/>
          <w:bCs/>
          <w:sz w:val="24"/>
        </w:rPr>
      </w:pPr>
    </w:p>
    <w:p w14:paraId="4BBB67D8">
      <w:pPr>
        <w:rPr>
          <w:rFonts w:ascii="宋体" w:hAnsi="宋体" w:eastAsia="宋体" w:cs="宋体"/>
          <w:bCs/>
          <w:sz w:val="24"/>
        </w:rPr>
      </w:pPr>
      <w:r>
        <w:rPr>
          <w:rFonts w:hint="eastAsia" w:ascii="宋体" w:hAnsi="宋体" w:eastAsia="宋体" w:cs="宋体"/>
          <w:bCs/>
          <w:sz w:val="24"/>
        </w:rPr>
        <w:t>如有调整，以最新为准。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87A0D">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280D97">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D280D97">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91684"/>
    <w:rsid w:val="00034376"/>
    <w:rsid w:val="004D6CE3"/>
    <w:rsid w:val="008D3BCF"/>
    <w:rsid w:val="009327CD"/>
    <w:rsid w:val="0096203A"/>
    <w:rsid w:val="00A939C0"/>
    <w:rsid w:val="00B44D8C"/>
    <w:rsid w:val="00D53FC2"/>
    <w:rsid w:val="00F15258"/>
    <w:rsid w:val="04D5637C"/>
    <w:rsid w:val="1D061E52"/>
    <w:rsid w:val="41336AA3"/>
    <w:rsid w:val="42AC7DA9"/>
    <w:rsid w:val="54872676"/>
    <w:rsid w:val="6646463A"/>
    <w:rsid w:val="666C3121"/>
    <w:rsid w:val="6DE91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First Indent"/>
    <w:basedOn w:val="3"/>
    <w:qFormat/>
    <w:uiPriority w:val="0"/>
    <w:pPr>
      <w:ind w:firstLine="420" w:firstLineChars="1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link w:val="1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8">
    <w:name w:val="Normal (Web)"/>
    <w:basedOn w:val="1"/>
    <w:unhideWhenUsed/>
    <w:qFormat/>
    <w:uiPriority w:val="0"/>
    <w:pPr>
      <w:spacing w:beforeAutospacing="1" w:afterAutospacing="1"/>
      <w:jc w:val="left"/>
    </w:pPr>
    <w:rPr>
      <w:rFonts w:ascii="Times New Roman" w:hAnsi="Times New Roman" w:eastAsia="宋体" w:cs="Times New Roman"/>
      <w:kern w:val="0"/>
      <w:sz w:val="24"/>
      <w:szCs w:val="22"/>
    </w:rPr>
  </w:style>
  <w:style w:type="character" w:customStyle="1" w:styleId="11">
    <w:name w:val="HTML 预设格式 字符"/>
    <w:basedOn w:val="10"/>
    <w:link w:val="7"/>
    <w:qFormat/>
    <w:uiPriority w:val="99"/>
    <w:rPr>
      <w:rFonts w:ascii="宋体" w:hAnsi="宋体"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451</Words>
  <Characters>456</Characters>
  <Lines>3</Lines>
  <Paragraphs>1</Paragraphs>
  <TotalTime>4</TotalTime>
  <ScaleCrop>false</ScaleCrop>
  <LinksUpToDate>false</LinksUpToDate>
  <CharactersWithSpaces>456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2025-05-14T05:52:00Z</dcterms:created>
  <dc:creator>江</dc:creator>
  <cp:lastModifiedBy>江</cp:lastModifiedBy>
  <dcterms:modified xsi:type="dcterms:W3CDTF">2025-05-16T02:06:57Z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1EEAD3D30DFF4A3381B63573DB58BED9_11</vt:lpwstr>
  </property>
  <property fmtid="{D5CDD505-2E9C-101B-9397-08002B2CF9AE}" pid="4" name="KSOTemplateDocerSaveRecord">
    <vt:lpwstr>eyJoZGlkIjoiMTM4OTY5MWY0ZWQ2MGU3MzBhNTNhYmE5YjQ2ZDQxMGEiLCJ1c2VySWQiOiIyMzU1NjY3MjkifQ==</vt:lpwstr>
  </property>
</Properties>
</file>