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D912E">
      <w:pPr>
        <w:jc w:val="center"/>
        <w:rPr>
          <w:rFonts w:ascii="黑体" w:hAnsi="Times New Roman" w:eastAsia="黑体" w:cs="Times New Roman"/>
          <w:bCs/>
          <w:kern w:val="44"/>
          <w:sz w:val="36"/>
          <w:szCs w:val="36"/>
        </w:rPr>
      </w:pPr>
      <w:r>
        <w:rPr>
          <w:rFonts w:hint="eastAsia" w:ascii="黑体" w:hAnsi="黑体" w:eastAsia="黑体" w:cs="黑体"/>
          <w:sz w:val="36"/>
          <w:szCs w:val="36"/>
        </w:rPr>
        <w:t>现代物流管理中高职一体化（两年制）专业</w:t>
      </w:r>
      <w:r>
        <w:rPr>
          <w:rFonts w:hint="eastAsia" w:ascii="黑体" w:hAnsi="Times New Roman" w:eastAsia="黑体" w:cs="Times New Roman"/>
          <w:bCs/>
          <w:kern w:val="44"/>
          <w:sz w:val="36"/>
          <w:szCs w:val="36"/>
        </w:rPr>
        <w:t>主要课程</w:t>
      </w:r>
    </w:p>
    <w:p w14:paraId="4ABA92CF">
      <w:pPr>
        <w:jc w:val="center"/>
        <w:rPr>
          <w:rFonts w:ascii="宋体" w:hAnsi="宋体" w:eastAsia="宋体" w:cs="宋体"/>
          <w:bCs/>
          <w:sz w:val="24"/>
        </w:rPr>
      </w:pPr>
    </w:p>
    <w:p w14:paraId="695A5F5F">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现代物流管理中高职一体化（两年制）专业的主要课程、</w:t>
      </w:r>
      <w:r>
        <w:rPr>
          <w:rFonts w:hint="eastAsia" w:ascii="宋体" w:hAnsi="宋体" w:cs="Angsana New"/>
          <w:iCs/>
          <w:sz w:val="24"/>
          <w:lang w:bidi="th-TH"/>
        </w:rPr>
        <w:t>课程的主要内容、教学要求如下表所示：</w:t>
      </w:r>
    </w:p>
    <w:p w14:paraId="1B93FB3E">
      <w:pPr>
        <w:jc w:val="center"/>
        <w:rPr>
          <w:rFonts w:ascii="宋体" w:hAnsi="宋体" w:eastAsia="宋体" w:cs="宋体"/>
          <w:bCs/>
          <w:sz w:val="24"/>
        </w:rPr>
      </w:pPr>
    </w:p>
    <w:tbl>
      <w:tblPr>
        <w:tblStyle w:val="9"/>
        <w:tblW w:w="515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2866"/>
        <w:gridCol w:w="4849"/>
      </w:tblGrid>
      <w:tr w14:paraId="056A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10" w:type="pct"/>
            <w:tcBorders>
              <w:bottom w:val="single" w:color="auto" w:sz="4" w:space="0"/>
            </w:tcBorders>
            <w:vAlign w:val="center"/>
          </w:tcPr>
          <w:p w14:paraId="7E5C7EE3">
            <w:pPr>
              <w:snapToGrid w:val="0"/>
              <w:jc w:val="center"/>
              <w:rPr>
                <w:rFonts w:ascii="宋体"/>
                <w:szCs w:val="21"/>
              </w:rPr>
            </w:pPr>
            <w:r>
              <w:rPr>
                <w:rFonts w:hint="eastAsia" w:ascii="宋体"/>
                <w:szCs w:val="21"/>
              </w:rPr>
              <w:t>主要课程</w:t>
            </w:r>
          </w:p>
        </w:tc>
        <w:tc>
          <w:tcPr>
            <w:tcW w:w="1630" w:type="pct"/>
            <w:tcBorders>
              <w:bottom w:val="single" w:color="auto" w:sz="4" w:space="0"/>
              <w:right w:val="single" w:color="auto" w:sz="4" w:space="0"/>
            </w:tcBorders>
            <w:vAlign w:val="center"/>
          </w:tcPr>
          <w:p w14:paraId="58C0533F">
            <w:pPr>
              <w:snapToGrid w:val="0"/>
              <w:jc w:val="center"/>
              <w:rPr>
                <w:rFonts w:ascii="宋体"/>
                <w:szCs w:val="21"/>
              </w:rPr>
            </w:pPr>
            <w:r>
              <w:rPr>
                <w:rFonts w:hint="eastAsia" w:ascii="宋体"/>
                <w:szCs w:val="21"/>
              </w:rPr>
              <w:t>主要内容</w:t>
            </w:r>
          </w:p>
        </w:tc>
        <w:tc>
          <w:tcPr>
            <w:tcW w:w="2758" w:type="pct"/>
            <w:tcBorders>
              <w:left w:val="single" w:color="auto" w:sz="4" w:space="0"/>
              <w:bottom w:val="single" w:color="auto" w:sz="4" w:space="0"/>
            </w:tcBorders>
            <w:vAlign w:val="center"/>
          </w:tcPr>
          <w:p w14:paraId="5F10EA03">
            <w:pPr>
              <w:snapToGrid w:val="0"/>
              <w:jc w:val="center"/>
              <w:rPr>
                <w:rFonts w:ascii="宋体"/>
                <w:szCs w:val="21"/>
              </w:rPr>
            </w:pPr>
            <w:r>
              <w:rPr>
                <w:rFonts w:hint="eastAsia" w:ascii="宋体"/>
                <w:szCs w:val="21"/>
              </w:rPr>
              <w:t>教学要求</w:t>
            </w:r>
          </w:p>
        </w:tc>
      </w:tr>
      <w:tr w14:paraId="56DE5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408FF127">
            <w:pPr>
              <w:snapToGrid w:val="0"/>
              <w:jc w:val="center"/>
              <w:rPr>
                <w:rFonts w:ascii="宋体" w:hAnsi="宋体" w:cs="宋体"/>
                <w:szCs w:val="21"/>
              </w:rPr>
            </w:pPr>
            <w:r>
              <w:rPr>
                <w:rFonts w:hint="eastAsia" w:ascii="宋体" w:hAnsi="宋体" w:cs="宋体"/>
                <w:szCs w:val="21"/>
              </w:rPr>
              <w:t>现代物流管理基础</w:t>
            </w:r>
          </w:p>
        </w:tc>
        <w:tc>
          <w:tcPr>
            <w:tcW w:w="1630" w:type="pct"/>
            <w:tcBorders>
              <w:right w:val="single" w:color="auto" w:sz="4" w:space="0"/>
            </w:tcBorders>
            <w:vAlign w:val="center"/>
          </w:tcPr>
          <w:p w14:paraId="17B1C3C3">
            <w:pPr>
              <w:snapToGrid w:val="0"/>
              <w:jc w:val="left"/>
              <w:rPr>
                <w:rFonts w:ascii="宋体" w:hAnsi="宋体" w:cs="宋体"/>
                <w:szCs w:val="21"/>
              </w:rPr>
            </w:pPr>
            <w:r>
              <w:rPr>
                <w:rFonts w:hint="eastAsia"/>
                <w:szCs w:val="21"/>
              </w:rPr>
              <w:t>1、现代物流概论；2、物流基本业务管理3、物流客户服务管理；4、国际物流管理；5、物流技术装备与物流信息管理系统；6、第三方物流管理；7、供应链管理；8、绿色物流以及物流系统工程；9、物流各模块业务。</w:t>
            </w:r>
          </w:p>
        </w:tc>
        <w:tc>
          <w:tcPr>
            <w:tcW w:w="2758" w:type="pct"/>
            <w:tcBorders>
              <w:left w:val="single" w:color="auto" w:sz="4" w:space="0"/>
            </w:tcBorders>
            <w:vAlign w:val="center"/>
          </w:tcPr>
          <w:p w14:paraId="2C9DD476">
            <w:pPr>
              <w:snapToGrid w:val="0"/>
              <w:jc w:val="left"/>
              <w:rPr>
                <w:rFonts w:ascii="宋体" w:hAnsi="宋体" w:cs="宋体"/>
                <w:szCs w:val="21"/>
              </w:rPr>
            </w:pPr>
            <w:r>
              <w:rPr>
                <w:rFonts w:hint="eastAsia" w:ascii="宋体" w:hAnsi="宋体" w:cs="宋体"/>
                <w:szCs w:val="21"/>
              </w:rPr>
              <w:t>1、应加强对学生职业能力的培养，采用行动导向教学法，强化案例教学和项目教学，注重以任务引领型案例或项目作业来激发学生兴趣，使学生在任务分析或实施的过程中实现教学目标；2、应以学生为主体，注重 “教”与“学”的互动。</w:t>
            </w:r>
          </w:p>
          <w:p w14:paraId="4B23ECB4">
            <w:pPr>
              <w:snapToGrid w:val="0"/>
              <w:jc w:val="left"/>
              <w:rPr>
                <w:rFonts w:ascii="宋体" w:hAnsi="宋体" w:cs="宋体"/>
                <w:szCs w:val="21"/>
              </w:rPr>
            </w:pPr>
            <w:r>
              <w:rPr>
                <w:rFonts w:hint="eastAsia" w:ascii="宋体" w:hAnsi="宋体" w:cs="宋体"/>
                <w:szCs w:val="21"/>
              </w:rPr>
              <w:t>课程思政元素挖掘：通过讲述物流发展史及温州知名物流企业创业史，引导学生感悟不畏艰辛、愈挫愈勇的奋斗精神，以及齐心协力、团结协作的团队精神。</w:t>
            </w:r>
          </w:p>
        </w:tc>
      </w:tr>
      <w:tr w14:paraId="7FBB5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0F49219A">
            <w:pPr>
              <w:snapToGrid w:val="0"/>
              <w:jc w:val="center"/>
              <w:rPr>
                <w:rFonts w:ascii="宋体" w:hAnsi="宋体" w:cs="宋体"/>
                <w:szCs w:val="21"/>
              </w:rPr>
            </w:pPr>
            <w:r>
              <w:rPr>
                <w:rFonts w:hint="eastAsia" w:ascii="宋体" w:hAnsi="宋体" w:cs="宋体"/>
                <w:szCs w:val="21"/>
              </w:rPr>
              <w:t>经济学基础</w:t>
            </w:r>
          </w:p>
        </w:tc>
        <w:tc>
          <w:tcPr>
            <w:tcW w:w="1630" w:type="pct"/>
            <w:tcBorders>
              <w:right w:val="single" w:color="auto" w:sz="4" w:space="0"/>
            </w:tcBorders>
            <w:vAlign w:val="center"/>
          </w:tcPr>
          <w:p w14:paraId="66FF066F">
            <w:pPr>
              <w:pStyle w:val="2"/>
              <w:ind w:firstLine="0" w:firstLineChars="0"/>
              <w:jc w:val="left"/>
              <w:rPr>
                <w:szCs w:val="21"/>
              </w:rPr>
            </w:pPr>
            <w:r>
              <w:rPr>
                <w:rFonts w:hint="eastAsia"/>
                <w:szCs w:val="21"/>
              </w:rPr>
              <w:t>1、市场供求；2、价格理论的应用；3、消费者行为理论应用；4、成本理论应用；5、生产理论的应用；6、市场理论的应用；7、经济政策的分析；8、国际贸易理论的应用。</w:t>
            </w:r>
          </w:p>
          <w:p w14:paraId="005AB6C8">
            <w:pPr>
              <w:snapToGrid w:val="0"/>
              <w:jc w:val="left"/>
              <w:rPr>
                <w:rFonts w:ascii="宋体" w:hAnsi="宋体" w:cs="宋体"/>
                <w:szCs w:val="21"/>
              </w:rPr>
            </w:pPr>
          </w:p>
        </w:tc>
        <w:tc>
          <w:tcPr>
            <w:tcW w:w="2758" w:type="pct"/>
            <w:tcBorders>
              <w:left w:val="single" w:color="auto" w:sz="4" w:space="0"/>
            </w:tcBorders>
            <w:vAlign w:val="center"/>
          </w:tcPr>
          <w:p w14:paraId="6222F7C1">
            <w:pPr>
              <w:snapToGrid w:val="0"/>
              <w:jc w:val="left"/>
              <w:rPr>
                <w:rFonts w:ascii="宋体" w:hAnsi="宋体" w:cs="宋体"/>
                <w:szCs w:val="21"/>
              </w:rPr>
            </w:pPr>
            <w:r>
              <w:rPr>
                <w:rFonts w:hint="eastAsia" w:ascii="宋体" w:hAnsi="宋体" w:cs="宋体"/>
                <w:szCs w:val="21"/>
              </w:rPr>
              <w:t>应以案例导入、课堂讨论、学生辩论、业余时间和课堂时间进行实地调查，设计项目，以项目导向模式来检验和巩固学生的理论知识的掌握，培养学生解决实际问题的能力，让学生学中做和做中学，容“教、学、做”为一体。</w:t>
            </w:r>
          </w:p>
        </w:tc>
      </w:tr>
      <w:tr w14:paraId="28DDE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7F0D8A2E">
            <w:pPr>
              <w:snapToGrid w:val="0"/>
              <w:jc w:val="center"/>
              <w:rPr>
                <w:rFonts w:ascii="宋体" w:hAnsi="宋体" w:cs="宋体"/>
                <w:szCs w:val="21"/>
              </w:rPr>
            </w:pPr>
            <w:r>
              <w:rPr>
                <w:rFonts w:hint="eastAsia" w:ascii="宋体" w:hAnsi="宋体" w:cs="宋体"/>
                <w:szCs w:val="21"/>
              </w:rPr>
              <w:t>管理学基础</w:t>
            </w:r>
          </w:p>
        </w:tc>
        <w:tc>
          <w:tcPr>
            <w:tcW w:w="1630" w:type="pct"/>
            <w:tcBorders>
              <w:right w:val="single" w:color="auto" w:sz="4" w:space="0"/>
            </w:tcBorders>
            <w:vAlign w:val="center"/>
          </w:tcPr>
          <w:p w14:paraId="6447EAF1">
            <w:pPr>
              <w:pStyle w:val="2"/>
              <w:ind w:firstLine="0" w:firstLineChars="0"/>
              <w:jc w:val="left"/>
              <w:rPr>
                <w:rFonts w:ascii="宋体" w:hAnsi="宋体"/>
                <w:szCs w:val="21"/>
              </w:rPr>
            </w:pPr>
            <w:r>
              <w:rPr>
                <w:rFonts w:hint="eastAsia" w:ascii="宋体" w:hAnsi="宋体"/>
                <w:szCs w:val="21"/>
              </w:rPr>
              <w:t>1、管理活动与管理者；2、管理理论的发展演进；3、决策；4、计划；5、组织；6、领导；7、激励；8、沟通；9、控制。</w:t>
            </w:r>
          </w:p>
        </w:tc>
        <w:tc>
          <w:tcPr>
            <w:tcW w:w="2758" w:type="pct"/>
            <w:tcBorders>
              <w:left w:val="single" w:color="auto" w:sz="4" w:space="0"/>
            </w:tcBorders>
            <w:vAlign w:val="center"/>
          </w:tcPr>
          <w:p w14:paraId="755F052B">
            <w:pPr>
              <w:snapToGrid w:val="0"/>
              <w:rPr>
                <w:rFonts w:ascii="宋体" w:hAnsi="宋体" w:cs="宋体"/>
                <w:szCs w:val="21"/>
              </w:rPr>
            </w:pPr>
            <w:r>
              <w:rPr>
                <w:rFonts w:hint="eastAsia" w:ascii="宋体" w:hAnsi="宋体" w:cs="宋体"/>
                <w:szCs w:val="21"/>
              </w:rPr>
              <w:t>本课程应采用案例教学法、模拟教学法、实地教学法、实地调查法、培训法、实战训练法等方法开展教学；应充分利用校内实训场所和校外实训基地，开展模拟教学和实战教学；应具备网络教学资源，包括授课教案、多媒体课件、课程练习、阅读书目、视频教学资料等，满足本课程的教学需要，为学生个性化学习创造良好的教学空间，加强师生之间的沟通，促进学生的主动学习，提升教学效果。</w:t>
            </w:r>
          </w:p>
        </w:tc>
      </w:tr>
      <w:tr w14:paraId="642AD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6D601175">
            <w:pPr>
              <w:snapToGrid w:val="0"/>
              <w:jc w:val="center"/>
              <w:rPr>
                <w:rFonts w:ascii="宋体" w:hAnsi="宋体" w:cs="宋体"/>
                <w:szCs w:val="21"/>
              </w:rPr>
            </w:pPr>
            <w:r>
              <w:rPr>
                <w:rFonts w:hint="eastAsia"/>
                <w:szCs w:val="21"/>
              </w:rPr>
              <w:t>物流成本管理</w:t>
            </w:r>
          </w:p>
        </w:tc>
        <w:tc>
          <w:tcPr>
            <w:tcW w:w="1630" w:type="pct"/>
            <w:tcBorders>
              <w:right w:val="single" w:color="auto" w:sz="4" w:space="0"/>
            </w:tcBorders>
            <w:vAlign w:val="center"/>
          </w:tcPr>
          <w:p w14:paraId="3060C567">
            <w:pPr>
              <w:pStyle w:val="2"/>
              <w:ind w:firstLine="0" w:firstLineChars="0"/>
              <w:jc w:val="left"/>
              <w:rPr>
                <w:rFonts w:ascii="宋体" w:hAnsi="宋体"/>
                <w:szCs w:val="21"/>
              </w:rPr>
            </w:pPr>
            <w:r>
              <w:rPr>
                <w:rFonts w:hint="eastAsia" w:ascii="宋体" w:hAnsi="宋体"/>
                <w:szCs w:val="21"/>
              </w:rPr>
              <w:t>1、物流成本管理概述；2、物流成本的计算（引入生产企业物流-正泰，物流企业-东风等案例）；3、运输成本（结合人本物流、泰易达物流）；4、仓储成本（以温州综保区仓储为例）；5、库存持有成本与其他物流成本；6、物流成本的分析、预测与决策；7、物流成本的控制；8、物流作业成本管理。</w:t>
            </w:r>
          </w:p>
          <w:p w14:paraId="42CBE7C6">
            <w:pPr>
              <w:snapToGrid w:val="0"/>
              <w:rPr>
                <w:rFonts w:ascii="宋体" w:hAnsi="宋体" w:cs="宋体"/>
                <w:szCs w:val="21"/>
              </w:rPr>
            </w:pPr>
          </w:p>
        </w:tc>
        <w:tc>
          <w:tcPr>
            <w:tcW w:w="2758" w:type="pct"/>
            <w:tcBorders>
              <w:left w:val="single" w:color="auto" w:sz="4" w:space="0"/>
            </w:tcBorders>
            <w:vAlign w:val="center"/>
          </w:tcPr>
          <w:p w14:paraId="1AD64A56">
            <w:pPr>
              <w:jc w:val="left"/>
              <w:rPr>
                <w:rFonts w:ascii="宋体" w:hAnsi="宋体" w:cs="宋体"/>
                <w:szCs w:val="21"/>
              </w:rPr>
            </w:pPr>
            <w:r>
              <w:rPr>
                <w:rFonts w:hint="eastAsia" w:ascii="宋体" w:hAnsi="宋体" w:cs="宋体"/>
                <w:szCs w:val="21"/>
              </w:rPr>
              <w:t>1、应立足于加强学生实际动手能力的培养，采用校企合作、工学结合项目教学，以任务驱动型项目提高学生学习兴趣；</w:t>
            </w:r>
          </w:p>
          <w:p w14:paraId="063E09C7">
            <w:pPr>
              <w:jc w:val="left"/>
              <w:rPr>
                <w:rFonts w:ascii="宋体" w:hAnsi="宋体" w:cs="宋体"/>
                <w:szCs w:val="21"/>
              </w:rPr>
            </w:pPr>
            <w:r>
              <w:rPr>
                <w:rFonts w:hint="eastAsia" w:ascii="宋体" w:hAnsi="宋体" w:cs="宋体"/>
                <w:szCs w:val="21"/>
              </w:rPr>
              <w:t>2、应充分利用学校和企业的两种资源，学校专职教师与企业兼职教师教学相结合，采用现代多媒体教学与企业现场实践教学相结合，注重学做结合，边讲边学，“教”与“学”互动，做中学，学中做，强化学生实践能力和岗位职业能力的提高；</w:t>
            </w:r>
          </w:p>
          <w:p w14:paraId="769D0E2E">
            <w:pPr>
              <w:snapToGrid w:val="0"/>
              <w:rPr>
                <w:rFonts w:ascii="宋体" w:hAnsi="宋体" w:cs="宋体"/>
                <w:szCs w:val="21"/>
              </w:rPr>
            </w:pPr>
            <w:r>
              <w:rPr>
                <w:rFonts w:hint="eastAsia" w:ascii="宋体" w:hAnsi="宋体" w:cs="宋体"/>
                <w:szCs w:val="21"/>
              </w:rPr>
              <w:t>3、在教学过程中，要创设工作情境，强化实际操作训练；要紧密结合职业技能证书的考核，在操作训练中，使学生掌握成本控制的相关知识。</w:t>
            </w:r>
          </w:p>
        </w:tc>
      </w:tr>
      <w:tr w14:paraId="25D5E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3CD4BF35">
            <w:pPr>
              <w:snapToGrid w:val="0"/>
              <w:jc w:val="center"/>
              <w:rPr>
                <w:rFonts w:ascii="宋体" w:hAnsi="宋体" w:cs="宋体"/>
                <w:szCs w:val="21"/>
              </w:rPr>
            </w:pPr>
            <w:r>
              <w:rPr>
                <w:rFonts w:hint="eastAsia"/>
                <w:szCs w:val="21"/>
              </w:rPr>
              <w:t>仓储与配送管理</w:t>
            </w:r>
          </w:p>
        </w:tc>
        <w:tc>
          <w:tcPr>
            <w:tcW w:w="1630" w:type="pct"/>
            <w:tcBorders>
              <w:right w:val="single" w:color="auto" w:sz="4" w:space="0"/>
            </w:tcBorders>
            <w:vAlign w:val="center"/>
          </w:tcPr>
          <w:p w14:paraId="32034953">
            <w:pPr>
              <w:pStyle w:val="2"/>
              <w:ind w:firstLine="0" w:firstLineChars="0"/>
              <w:jc w:val="left"/>
              <w:rPr>
                <w:rFonts w:ascii="宋体" w:hAnsi="宋体"/>
                <w:szCs w:val="21"/>
              </w:rPr>
            </w:pPr>
            <w:r>
              <w:rPr>
                <w:rFonts w:hint="eastAsia" w:ascii="宋体" w:hAnsi="宋体"/>
                <w:szCs w:val="21"/>
              </w:rPr>
              <w:t>1、仓储和仓储管理概述；2、仓库和仓库设备（引入正泰、人本等企业实际案例）；3、仓储经营管理；4、仓储作业管理（人本、森马本土优质企业）；5、库存控制；6、配送及配送业务；7、配送中心；8、配送运输（融入温州数学家摇篮的内容）。</w:t>
            </w:r>
          </w:p>
        </w:tc>
        <w:tc>
          <w:tcPr>
            <w:tcW w:w="2758" w:type="pct"/>
            <w:tcBorders>
              <w:left w:val="single" w:color="auto" w:sz="4" w:space="0"/>
            </w:tcBorders>
            <w:vAlign w:val="center"/>
          </w:tcPr>
          <w:p w14:paraId="46791E16">
            <w:pPr>
              <w:pStyle w:val="2"/>
              <w:ind w:firstLine="0" w:firstLineChars="0"/>
              <w:jc w:val="left"/>
              <w:rPr>
                <w:rFonts w:ascii="宋体" w:hAnsi="宋体"/>
                <w:szCs w:val="21"/>
              </w:rPr>
            </w:pPr>
            <w:r>
              <w:rPr>
                <w:rFonts w:hint="eastAsia" w:ascii="宋体" w:hAnsi="宋体"/>
                <w:szCs w:val="21"/>
              </w:rPr>
              <w:t>1、应运用讲授法、案例讨论法、视频资料观摩法、体验式教学法和项目教学法等方法，重点开展项目教学法和体验式教学法。</w:t>
            </w:r>
          </w:p>
          <w:p w14:paraId="7AA7B13F">
            <w:pPr>
              <w:pStyle w:val="2"/>
              <w:ind w:firstLine="0" w:firstLineChars="0"/>
              <w:jc w:val="left"/>
              <w:rPr>
                <w:rFonts w:ascii="宋体" w:hAnsi="宋体"/>
                <w:szCs w:val="21"/>
              </w:rPr>
            </w:pPr>
            <w:r>
              <w:rPr>
                <w:rFonts w:hint="eastAsia" w:ascii="宋体" w:hAnsi="宋体"/>
                <w:szCs w:val="21"/>
              </w:rPr>
              <w:t>2、教材应充分体现任务引领、实践导向的课程设计思想，以企业仓储管理的各项任务模块为主线，合理安排教材内容。</w:t>
            </w:r>
          </w:p>
          <w:p w14:paraId="36B46AB9">
            <w:pPr>
              <w:snapToGrid w:val="0"/>
              <w:rPr>
                <w:rFonts w:ascii="宋体" w:hAnsi="宋体" w:cs="宋体"/>
                <w:szCs w:val="21"/>
              </w:rPr>
            </w:pPr>
            <w:r>
              <w:rPr>
                <w:rFonts w:hint="eastAsia" w:ascii="宋体" w:hAnsi="宋体"/>
                <w:szCs w:val="21"/>
              </w:rPr>
              <w:t>3、教学内容上应注重企业基本仓储业务处理技能训练，同时还应把新知识、新技术和新方法融入教材，以便教材内容更加贴近操作实际。</w:t>
            </w:r>
          </w:p>
        </w:tc>
      </w:tr>
      <w:tr w14:paraId="00672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2E6E1C8D">
            <w:pPr>
              <w:snapToGrid w:val="0"/>
              <w:jc w:val="center"/>
              <w:rPr>
                <w:rFonts w:ascii="宋体" w:hAnsi="宋体" w:cs="宋体"/>
                <w:szCs w:val="21"/>
              </w:rPr>
            </w:pPr>
            <w:r>
              <w:rPr>
                <w:rFonts w:hint="eastAsia" w:ascii="宋体" w:hAnsi="宋体" w:cs="宋体"/>
                <w:szCs w:val="21"/>
              </w:rPr>
              <w:t>运输管理</w:t>
            </w:r>
          </w:p>
        </w:tc>
        <w:tc>
          <w:tcPr>
            <w:tcW w:w="1630" w:type="pct"/>
            <w:tcBorders>
              <w:right w:val="single" w:color="auto" w:sz="4" w:space="0"/>
            </w:tcBorders>
            <w:vAlign w:val="center"/>
          </w:tcPr>
          <w:p w14:paraId="027B9A44">
            <w:pPr>
              <w:snapToGrid w:val="0"/>
              <w:rPr>
                <w:rFonts w:ascii="宋体" w:hAnsi="宋体" w:cs="宋体"/>
                <w:szCs w:val="21"/>
              </w:rPr>
            </w:pPr>
            <w:r>
              <w:rPr>
                <w:rFonts w:hint="eastAsia" w:ascii="宋体" w:hAnsi="宋体"/>
                <w:szCs w:val="21"/>
              </w:rPr>
              <w:t>1、运输管理导论；2、运输方式选择；3、运输组织管理；4、运输作业管理；5、运输商务管理；6、运输管理信息系统；7、国际货物运输管理；8、运输相关法规。</w:t>
            </w:r>
          </w:p>
        </w:tc>
        <w:tc>
          <w:tcPr>
            <w:tcW w:w="2758" w:type="pct"/>
            <w:tcBorders>
              <w:left w:val="single" w:color="auto" w:sz="4" w:space="0"/>
            </w:tcBorders>
            <w:vAlign w:val="center"/>
          </w:tcPr>
          <w:p w14:paraId="5CB5CF1D">
            <w:pPr>
              <w:snapToGrid w:val="0"/>
              <w:rPr>
                <w:rFonts w:ascii="宋体" w:hAnsi="宋体" w:cs="宋体"/>
                <w:szCs w:val="21"/>
              </w:rPr>
            </w:pPr>
            <w:r>
              <w:rPr>
                <w:rFonts w:hint="eastAsia" w:ascii="宋体" w:hAnsi="宋体" w:cs="宋体"/>
                <w:szCs w:val="21"/>
              </w:rPr>
              <w:t>在教学中要重视学生动手能力的培养，贯彻工学结合的教学模式，充分运用现有校内外实训条件，做到做中学、学中做。可使用物流实训室、仓储与配送实训室等校内实训设施以及校外实训基地。在教学过程中要注意学生创新能力的培养，如单证的设计，业务流程的优化等。</w:t>
            </w:r>
          </w:p>
        </w:tc>
      </w:tr>
      <w:tr w14:paraId="048F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265E9EA2">
            <w:pPr>
              <w:snapToGrid w:val="0"/>
              <w:jc w:val="center"/>
              <w:rPr>
                <w:rFonts w:ascii="宋体" w:hAnsi="宋体" w:cs="宋体"/>
                <w:szCs w:val="21"/>
              </w:rPr>
            </w:pPr>
            <w:r>
              <w:rPr>
                <w:rFonts w:hint="eastAsia" w:ascii="宋体" w:hAnsi="宋体" w:cs="宋体"/>
                <w:szCs w:val="21"/>
              </w:rPr>
              <w:t>供应链管理</w:t>
            </w:r>
          </w:p>
        </w:tc>
        <w:tc>
          <w:tcPr>
            <w:tcW w:w="1630" w:type="pct"/>
            <w:tcBorders>
              <w:right w:val="single" w:color="auto" w:sz="4" w:space="0"/>
            </w:tcBorders>
            <w:vAlign w:val="center"/>
          </w:tcPr>
          <w:p w14:paraId="61512A04">
            <w:pPr>
              <w:snapToGrid w:val="0"/>
              <w:rPr>
                <w:rFonts w:ascii="宋体" w:hAnsi="宋体" w:cs="宋体"/>
                <w:szCs w:val="21"/>
              </w:rPr>
            </w:pPr>
            <w:r>
              <w:rPr>
                <w:rFonts w:hint="eastAsia" w:ascii="宋体" w:hAnsi="宋体"/>
                <w:szCs w:val="21"/>
              </w:rPr>
              <w:t>1、供应链认知与分析；2、供应链设计与优化；3、供应链合作伙伴选择；4、供应链运作管理；5、供应链绩效评价。</w:t>
            </w:r>
          </w:p>
        </w:tc>
        <w:tc>
          <w:tcPr>
            <w:tcW w:w="2758" w:type="pct"/>
            <w:tcBorders>
              <w:left w:val="single" w:color="auto" w:sz="4" w:space="0"/>
            </w:tcBorders>
            <w:vAlign w:val="center"/>
          </w:tcPr>
          <w:p w14:paraId="5FF04826">
            <w:pPr>
              <w:snapToGrid w:val="0"/>
              <w:rPr>
                <w:rFonts w:ascii="宋体" w:hAnsi="宋体" w:cs="宋体"/>
                <w:szCs w:val="21"/>
              </w:rPr>
            </w:pPr>
            <w:r>
              <w:rPr>
                <w:rFonts w:hint="eastAsia"/>
                <w:szCs w:val="21"/>
              </w:rPr>
              <w:t>1、要选用优秀的高职高专教材，结合网络教学，满足学生在课前预习、课堂学习、课后复习、课外自学及实验实训等不同阶段的学习及实践需要；2、要充分利用丰富生动的多媒体教学资源，精心设计和制作教学课件，提升学生的学习兴趣和学习效果；3、建设并完善本课程的校内实训场所，包括实训室、实训设备及实训软件，以满足课堂仿真实训教学的需要；不断拓展百世供应链、温州人本等多个校外实践基地，充分开展工学结合，以满足实践教学的需要。</w:t>
            </w:r>
          </w:p>
        </w:tc>
      </w:tr>
      <w:tr w14:paraId="36EDA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66AED6F9">
            <w:pPr>
              <w:snapToGrid w:val="0"/>
              <w:jc w:val="center"/>
              <w:rPr>
                <w:rFonts w:ascii="宋体" w:hAnsi="宋体" w:cs="宋体"/>
                <w:szCs w:val="21"/>
              </w:rPr>
            </w:pPr>
            <w:r>
              <w:rPr>
                <w:rFonts w:hint="eastAsia" w:ascii="宋体" w:hAnsi="宋体" w:cs="宋体"/>
                <w:szCs w:val="21"/>
              </w:rPr>
              <w:t>采购管理</w:t>
            </w:r>
          </w:p>
        </w:tc>
        <w:tc>
          <w:tcPr>
            <w:tcW w:w="1630" w:type="pct"/>
            <w:tcBorders>
              <w:right w:val="single" w:color="auto" w:sz="4" w:space="0"/>
            </w:tcBorders>
            <w:vAlign w:val="center"/>
          </w:tcPr>
          <w:p w14:paraId="185E94B3">
            <w:pPr>
              <w:snapToGrid w:val="0"/>
              <w:rPr>
                <w:rFonts w:ascii="宋体" w:hAnsi="宋体" w:cs="宋体"/>
                <w:szCs w:val="21"/>
              </w:rPr>
            </w:pPr>
            <w:r>
              <w:rPr>
                <w:rFonts w:hint="eastAsia" w:ascii="宋体" w:hAnsi="宋体" w:cs="宋体"/>
                <w:szCs w:val="21"/>
              </w:rPr>
              <w:t>1、采购管理概述；2、采购申请与需求分析；3、供应商选择与管理；4、MRP采购管理；5、JIT采购管理；6、招标采购管理；7、供应链采购管理；8、采购谈判；9、电子商务采购。</w:t>
            </w:r>
          </w:p>
        </w:tc>
        <w:tc>
          <w:tcPr>
            <w:tcW w:w="2758" w:type="pct"/>
            <w:tcBorders>
              <w:left w:val="single" w:color="auto" w:sz="4" w:space="0"/>
            </w:tcBorders>
            <w:vAlign w:val="center"/>
          </w:tcPr>
          <w:p w14:paraId="6D4DAC96">
            <w:pPr>
              <w:snapToGrid w:val="0"/>
              <w:rPr>
                <w:rFonts w:ascii="宋体" w:hAnsi="宋体" w:cs="宋体"/>
                <w:szCs w:val="21"/>
              </w:rPr>
            </w:pPr>
            <w:r>
              <w:rPr>
                <w:rFonts w:hint="eastAsia"/>
                <w:szCs w:val="21"/>
              </w:rPr>
              <w:t>应注重实验实训指导书和实验实训标准的开发和应用；要充分利用教学资源创设形象生动的工作情境，激发学生的学习，促进学生对知识的理解和掌握；应积极开发和利用网络课程资源，使教学媒体从单一媒体向多种媒体转变；使教学活动从信息的单向传递向双向交互转变；使学生从单独的学习向合作学习转变。</w:t>
            </w:r>
          </w:p>
        </w:tc>
      </w:tr>
      <w:tr w14:paraId="31394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2FB15F4F">
            <w:pPr>
              <w:snapToGrid w:val="0"/>
              <w:jc w:val="center"/>
              <w:rPr>
                <w:rFonts w:ascii="宋体" w:hAnsi="宋体" w:cs="宋体"/>
                <w:szCs w:val="21"/>
              </w:rPr>
            </w:pPr>
            <w:r>
              <w:rPr>
                <w:rFonts w:hint="eastAsia" w:ascii="宋体" w:hAnsi="宋体" w:cs="宋体"/>
                <w:szCs w:val="21"/>
              </w:rPr>
              <w:t>国际货代实务</w:t>
            </w:r>
          </w:p>
        </w:tc>
        <w:tc>
          <w:tcPr>
            <w:tcW w:w="1630" w:type="pct"/>
            <w:tcBorders>
              <w:right w:val="single" w:color="auto" w:sz="4" w:space="0"/>
            </w:tcBorders>
            <w:vAlign w:val="center"/>
          </w:tcPr>
          <w:p w14:paraId="05C7D3E2">
            <w:pPr>
              <w:snapToGrid w:val="0"/>
              <w:rPr>
                <w:rFonts w:ascii="宋体" w:hAnsi="宋体" w:cs="宋体"/>
                <w:szCs w:val="21"/>
              </w:rPr>
            </w:pPr>
            <w:r>
              <w:rPr>
                <w:rFonts w:hint="eastAsia" w:ascii="宋体" w:hAnsi="宋体" w:cs="宋体"/>
                <w:szCs w:val="21"/>
              </w:rPr>
              <w:t>1、认知国际货运代理；</w:t>
            </w:r>
          </w:p>
          <w:p w14:paraId="474C4371">
            <w:pPr>
              <w:snapToGrid w:val="0"/>
              <w:rPr>
                <w:rFonts w:ascii="宋体" w:hAnsi="宋体" w:cs="宋体"/>
                <w:szCs w:val="21"/>
              </w:rPr>
            </w:pPr>
            <w:r>
              <w:rPr>
                <w:rFonts w:hint="eastAsia" w:ascii="宋体" w:hAnsi="宋体" w:cs="宋体"/>
                <w:szCs w:val="21"/>
              </w:rPr>
              <w:t>2、国际海运出口货物运输代理流程；</w:t>
            </w:r>
          </w:p>
          <w:p w14:paraId="73B70C45">
            <w:pPr>
              <w:snapToGrid w:val="0"/>
              <w:rPr>
                <w:rFonts w:ascii="宋体" w:hAnsi="宋体" w:cs="宋体"/>
                <w:szCs w:val="21"/>
              </w:rPr>
            </w:pPr>
            <w:r>
              <w:rPr>
                <w:rFonts w:hint="eastAsia" w:ascii="宋体" w:hAnsi="宋体" w:cs="宋体"/>
                <w:szCs w:val="21"/>
              </w:rPr>
              <w:t>3、国际海运出口货运代理的技能培养。</w:t>
            </w:r>
          </w:p>
        </w:tc>
        <w:tc>
          <w:tcPr>
            <w:tcW w:w="2758" w:type="pct"/>
            <w:tcBorders>
              <w:left w:val="single" w:color="auto" w:sz="4" w:space="0"/>
            </w:tcBorders>
            <w:vAlign w:val="center"/>
          </w:tcPr>
          <w:p w14:paraId="6EE38128">
            <w:pPr>
              <w:snapToGrid w:val="0"/>
              <w:rPr>
                <w:rFonts w:ascii="宋体" w:hAnsi="宋体" w:cs="宋体"/>
                <w:szCs w:val="21"/>
              </w:rPr>
            </w:pPr>
            <w:r>
              <w:rPr>
                <w:rFonts w:hint="eastAsia" w:ascii="宋体" w:hAnsi="宋体" w:cs="宋体"/>
                <w:szCs w:val="21"/>
              </w:rPr>
              <w:t>1、应针对学生实际职业能力的培养来进行教学，通过工作任务的仿真或全真操作，提高学生的学习兴趣，掌握各种货代业务操作能力和实施能力；</w:t>
            </w:r>
          </w:p>
          <w:p w14:paraId="36F48450">
            <w:pPr>
              <w:snapToGrid w:val="0"/>
              <w:rPr>
                <w:rFonts w:ascii="宋体" w:hAnsi="宋体" w:cs="宋体"/>
                <w:szCs w:val="21"/>
              </w:rPr>
            </w:pPr>
            <w:r>
              <w:rPr>
                <w:rFonts w:hint="eastAsia" w:ascii="宋体" w:hAnsi="宋体" w:cs="宋体"/>
                <w:szCs w:val="21"/>
              </w:rPr>
              <w:t>2、应以学生为本，注重“教”与“学”的互动。通过选用典型活动项目，由教师提出要求或示范，组织学生进行活动，让学生在活动中树立责任意识，增强团队的合作精神，掌握本课程的职业能力；</w:t>
            </w:r>
          </w:p>
          <w:p w14:paraId="1D1FC2CB">
            <w:pPr>
              <w:snapToGrid w:val="0"/>
              <w:rPr>
                <w:rFonts w:ascii="宋体" w:hAnsi="宋体" w:cs="宋体"/>
                <w:szCs w:val="21"/>
              </w:rPr>
            </w:pPr>
            <w:r>
              <w:rPr>
                <w:rFonts w:hint="eastAsia" w:ascii="宋体" w:hAnsi="宋体" w:cs="宋体"/>
                <w:szCs w:val="21"/>
              </w:rPr>
              <w:t>3、应注重职业情景的创设，以多媒体、录像、案例分析等方法提高学生依法解决和处理实际问题的职业能力；</w:t>
            </w:r>
          </w:p>
          <w:p w14:paraId="1462E1C2">
            <w:pPr>
              <w:snapToGrid w:val="0"/>
              <w:rPr>
                <w:rFonts w:ascii="宋体" w:hAnsi="宋体" w:cs="宋体"/>
                <w:szCs w:val="21"/>
              </w:rPr>
            </w:pPr>
            <w:r>
              <w:rPr>
                <w:rFonts w:hint="eastAsia" w:ascii="宋体" w:hAnsi="宋体" w:cs="宋体"/>
                <w:szCs w:val="21"/>
              </w:rPr>
              <w:t>4、注重行业规则、公司制度与海运条例的三者融合，融入“知规则、按制度、懂条例” 的国际海运视野的课程思政元素。</w:t>
            </w:r>
          </w:p>
        </w:tc>
      </w:tr>
      <w:tr w14:paraId="00A3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0FD1E272">
            <w:pPr>
              <w:snapToGrid w:val="0"/>
              <w:jc w:val="center"/>
              <w:rPr>
                <w:rFonts w:ascii="宋体" w:hAnsi="宋体" w:cs="宋体"/>
                <w:szCs w:val="21"/>
              </w:rPr>
            </w:pPr>
            <w:r>
              <w:rPr>
                <w:rFonts w:hint="eastAsia" w:ascii="宋体" w:hAnsi="宋体" w:cs="宋体"/>
                <w:szCs w:val="21"/>
              </w:rPr>
              <w:t>物流信息管理</w:t>
            </w:r>
          </w:p>
        </w:tc>
        <w:tc>
          <w:tcPr>
            <w:tcW w:w="1630" w:type="pct"/>
            <w:tcBorders>
              <w:right w:val="single" w:color="auto" w:sz="4" w:space="0"/>
            </w:tcBorders>
            <w:vAlign w:val="center"/>
          </w:tcPr>
          <w:p w14:paraId="345E5777">
            <w:pPr>
              <w:snapToGrid w:val="0"/>
              <w:rPr>
                <w:rFonts w:ascii="宋体" w:hAnsi="宋体" w:cs="宋体"/>
                <w:szCs w:val="21"/>
              </w:rPr>
            </w:pPr>
            <w:r>
              <w:rPr>
                <w:rFonts w:hint="eastAsia" w:ascii="宋体" w:hAnsi="宋体" w:cs="宋体"/>
                <w:szCs w:val="21"/>
              </w:rPr>
              <w:t>1、物流信息化管理概述；2、条形码与射频技术；3、信息储存与传输技术；4、GPS与GIS技术；5、物流信息管理系统；6、WMS系统操作。</w:t>
            </w:r>
          </w:p>
        </w:tc>
        <w:tc>
          <w:tcPr>
            <w:tcW w:w="2758" w:type="pct"/>
            <w:tcBorders>
              <w:left w:val="single" w:color="auto" w:sz="4" w:space="0"/>
            </w:tcBorders>
            <w:vAlign w:val="center"/>
          </w:tcPr>
          <w:p w14:paraId="7CC6B804">
            <w:pPr>
              <w:snapToGrid w:val="0"/>
              <w:rPr>
                <w:rFonts w:ascii="宋体" w:hAnsi="宋体" w:cs="宋体"/>
                <w:szCs w:val="21"/>
              </w:rPr>
            </w:pPr>
            <w:r>
              <w:rPr>
                <w:rFonts w:hint="eastAsia" w:ascii="宋体" w:hAnsi="宋体"/>
                <w:szCs w:val="21"/>
              </w:rPr>
              <w:t>应采用讲授法、案例教学法、情境教学法等教学方法，调动学生的学习积极性和主动性，引导学生理解与掌握课程中的重难点知识；在实训教学环节要多利用物流信息管理系统等信息平台，采用目教学法、情境教学法、任务驱动法、实训作业等教学方法；以物流信息处理任务作为载体，培养学生的团队协作精神，在完成工作任务的过程中潜移默化的提高学生知识应用能力和实践动手能力，进一步提高学生学习的主动性和积极性。</w:t>
            </w:r>
          </w:p>
        </w:tc>
      </w:tr>
      <w:tr w14:paraId="09C3D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55ADBAD2">
            <w:pPr>
              <w:snapToGrid w:val="0"/>
              <w:jc w:val="center"/>
              <w:rPr>
                <w:rFonts w:ascii="宋体" w:hAnsi="宋体" w:cs="宋体"/>
                <w:szCs w:val="21"/>
              </w:rPr>
            </w:pPr>
            <w:r>
              <w:rPr>
                <w:rFonts w:hint="eastAsia" w:ascii="宋体" w:hAnsi="宋体" w:cs="宋体"/>
                <w:szCs w:val="21"/>
              </w:rPr>
              <w:t>物流沙盘实训</w:t>
            </w:r>
          </w:p>
        </w:tc>
        <w:tc>
          <w:tcPr>
            <w:tcW w:w="1630" w:type="pct"/>
            <w:tcBorders>
              <w:right w:val="single" w:color="auto" w:sz="4" w:space="0"/>
            </w:tcBorders>
            <w:vAlign w:val="center"/>
          </w:tcPr>
          <w:p w14:paraId="7082ACDB">
            <w:pPr>
              <w:snapToGrid w:val="0"/>
              <w:rPr>
                <w:rFonts w:ascii="宋体" w:hAnsi="宋体" w:cs="宋体"/>
                <w:szCs w:val="21"/>
              </w:rPr>
            </w:pPr>
            <w:r>
              <w:rPr>
                <w:rFonts w:hint="eastAsia" w:ascii="宋体" w:hAnsi="宋体" w:cs="宋体"/>
                <w:szCs w:val="21"/>
              </w:rPr>
              <w:t>1、物流沙盘引导；2、物流沙盘操作；3、物流沙盘分析与点评。</w:t>
            </w:r>
          </w:p>
        </w:tc>
        <w:tc>
          <w:tcPr>
            <w:tcW w:w="2758" w:type="pct"/>
            <w:tcBorders>
              <w:left w:val="single" w:color="auto" w:sz="4" w:space="0"/>
            </w:tcBorders>
            <w:vAlign w:val="center"/>
          </w:tcPr>
          <w:p w14:paraId="3D2E6641">
            <w:pPr>
              <w:snapToGrid w:val="0"/>
              <w:rPr>
                <w:rFonts w:ascii="宋体" w:hAnsi="宋体" w:cs="宋体"/>
                <w:szCs w:val="21"/>
              </w:rPr>
            </w:pPr>
            <w:r>
              <w:rPr>
                <w:rFonts w:hint="eastAsia" w:ascii="宋体" w:hAnsi="宋体"/>
                <w:szCs w:val="21"/>
              </w:rPr>
              <w:t>1、教学班规模以1个班为一个教学班为宜；2、分组练习、对抗为宜。沙盘模拟建议每次最多8-12组，每组最多4名学生为一个模拟公司，学生要担任不同企业角色，每个学生至少要担任一个角色。在运营企业前，每个团队要制订出企业运营规划，运行结束后要提交模拟训练总结，与前期的规划对比。</w:t>
            </w:r>
          </w:p>
        </w:tc>
      </w:tr>
      <w:tr w14:paraId="3647E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0B94A43D">
            <w:pPr>
              <w:snapToGrid w:val="0"/>
              <w:jc w:val="center"/>
              <w:rPr>
                <w:rFonts w:ascii="宋体" w:hAnsi="宋体" w:cs="宋体"/>
                <w:szCs w:val="21"/>
              </w:rPr>
            </w:pPr>
            <w:r>
              <w:rPr>
                <w:rFonts w:hint="eastAsia" w:ascii="宋体" w:hAnsi="宋体" w:cs="宋体"/>
                <w:szCs w:val="21"/>
              </w:rPr>
              <w:t>跨境电商物流</w:t>
            </w:r>
          </w:p>
        </w:tc>
        <w:tc>
          <w:tcPr>
            <w:tcW w:w="1630" w:type="pct"/>
            <w:tcBorders>
              <w:right w:val="single" w:color="auto" w:sz="4" w:space="0"/>
            </w:tcBorders>
            <w:vAlign w:val="center"/>
          </w:tcPr>
          <w:p w14:paraId="6AD059B3">
            <w:pPr>
              <w:pStyle w:val="2"/>
              <w:ind w:firstLine="0" w:firstLineChars="0"/>
              <w:jc w:val="left"/>
              <w:rPr>
                <w:szCs w:val="21"/>
              </w:rPr>
            </w:pPr>
            <w:r>
              <w:rPr>
                <w:rFonts w:hint="eastAsia"/>
                <w:szCs w:val="21"/>
              </w:rPr>
              <w:t>1、跨境电商物流概述；2、邮政物流；3、国际快递；4、专线物流；5、国际海外仓；6、保税进口与直邮进口；7、跨境电商供应链管理；8、跨境电商物流信息管理。</w:t>
            </w:r>
          </w:p>
        </w:tc>
        <w:tc>
          <w:tcPr>
            <w:tcW w:w="2758" w:type="pct"/>
            <w:tcBorders>
              <w:left w:val="single" w:color="auto" w:sz="4" w:space="0"/>
            </w:tcBorders>
            <w:vAlign w:val="center"/>
          </w:tcPr>
          <w:p w14:paraId="76521688">
            <w:pPr>
              <w:pStyle w:val="2"/>
              <w:ind w:firstLine="0" w:firstLineChars="0"/>
              <w:jc w:val="left"/>
              <w:rPr>
                <w:rFonts w:ascii="宋体" w:hAnsi="宋体"/>
                <w:szCs w:val="21"/>
              </w:rPr>
            </w:pPr>
            <w:r>
              <w:rPr>
                <w:rFonts w:hint="eastAsia" w:ascii="宋体" w:hAnsi="宋体"/>
                <w:szCs w:val="21"/>
              </w:rPr>
              <w:t>1、本课程是理论与实践的一体化教学特色，实践操作将占总课时的二分之一左右。因此，要通过速卖通、亚马逊等网络教学平台进行实操训练，提高学生的动手能力和实际操作技能；2、充分利用内外部网络环境和多媒体演示系统进行教学，在条件允许的情况下，可组织学生到跨境电商企业进行实地调查、参观学习。</w:t>
            </w:r>
          </w:p>
          <w:p w14:paraId="50A4DB94">
            <w:pPr>
              <w:snapToGrid w:val="0"/>
              <w:rPr>
                <w:rFonts w:ascii="宋体" w:hAnsi="宋体" w:cs="宋体"/>
                <w:szCs w:val="21"/>
              </w:rPr>
            </w:pPr>
            <w:r>
              <w:rPr>
                <w:rFonts w:hint="eastAsia" w:ascii="宋体" w:hAnsi="宋体"/>
                <w:szCs w:val="21"/>
              </w:rPr>
              <w:t>课程思政元素挖掘：诚信经营，不做假、不卖假，正当经营，遵守电子商务法的相关规定，具有实施产权保护意识。</w:t>
            </w:r>
          </w:p>
        </w:tc>
      </w:tr>
      <w:tr w14:paraId="054C7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3A9960F5">
            <w:pPr>
              <w:snapToGrid w:val="0"/>
              <w:jc w:val="center"/>
              <w:rPr>
                <w:rFonts w:ascii="宋体" w:hAnsi="宋体" w:cs="宋体"/>
                <w:szCs w:val="21"/>
              </w:rPr>
            </w:pPr>
            <w:r>
              <w:rPr>
                <w:rFonts w:hint="eastAsia" w:ascii="宋体" w:hAnsi="宋体" w:cs="宋体"/>
                <w:szCs w:val="21"/>
              </w:rPr>
              <w:t>快递实务*</w:t>
            </w:r>
          </w:p>
        </w:tc>
        <w:tc>
          <w:tcPr>
            <w:tcW w:w="1630" w:type="pct"/>
            <w:tcBorders>
              <w:right w:val="single" w:color="auto" w:sz="4" w:space="0"/>
            </w:tcBorders>
            <w:vAlign w:val="center"/>
          </w:tcPr>
          <w:p w14:paraId="4451EE55">
            <w:pPr>
              <w:snapToGrid w:val="0"/>
              <w:rPr>
                <w:rFonts w:ascii="宋体" w:hAnsi="宋体" w:cs="宋体"/>
                <w:szCs w:val="21"/>
              </w:rPr>
            </w:pPr>
            <w:r>
              <w:rPr>
                <w:rFonts w:hint="eastAsia" w:ascii="宋体" w:hAnsi="宋体" w:cs="宋体"/>
                <w:szCs w:val="21"/>
              </w:rPr>
              <w:t>1、国内快递运营的流程、路线规划的方法以及排单计划制定；</w:t>
            </w:r>
          </w:p>
          <w:p w14:paraId="5416F7AD">
            <w:pPr>
              <w:snapToGrid w:val="0"/>
              <w:rPr>
                <w:rFonts w:ascii="宋体" w:hAnsi="宋体" w:cs="宋体"/>
                <w:szCs w:val="21"/>
              </w:rPr>
            </w:pPr>
            <w:r>
              <w:rPr>
                <w:rFonts w:hint="eastAsia" w:ascii="宋体" w:hAnsi="宋体" w:cs="宋体"/>
                <w:szCs w:val="21"/>
              </w:rPr>
              <w:t>2、国际空运的操作流程、业务操作以及空运费用控制以及索赔等；</w:t>
            </w:r>
          </w:p>
          <w:p w14:paraId="76B72315">
            <w:pPr>
              <w:snapToGrid w:val="0"/>
              <w:rPr>
                <w:rFonts w:ascii="宋体" w:hAnsi="宋体" w:cs="宋体"/>
                <w:szCs w:val="21"/>
              </w:rPr>
            </w:pPr>
            <w:r>
              <w:rPr>
                <w:rFonts w:hint="eastAsia" w:ascii="宋体" w:hAnsi="宋体" w:cs="宋体"/>
                <w:szCs w:val="21"/>
              </w:rPr>
              <w:t>3、国际快递的业务操作流程、包装要求以及禁运要求等。</w:t>
            </w:r>
          </w:p>
          <w:p w14:paraId="7168E275">
            <w:pPr>
              <w:snapToGrid w:val="0"/>
              <w:rPr>
                <w:rFonts w:ascii="宋体" w:hAnsi="宋体" w:cs="宋体"/>
                <w:szCs w:val="21"/>
              </w:rPr>
            </w:pPr>
          </w:p>
        </w:tc>
        <w:tc>
          <w:tcPr>
            <w:tcW w:w="2758" w:type="pct"/>
            <w:tcBorders>
              <w:left w:val="single" w:color="auto" w:sz="4" w:space="0"/>
            </w:tcBorders>
            <w:vAlign w:val="center"/>
          </w:tcPr>
          <w:p w14:paraId="5CB51E8E">
            <w:pPr>
              <w:snapToGrid w:val="0"/>
              <w:rPr>
                <w:rFonts w:ascii="宋体" w:hAnsi="宋体" w:cs="宋体"/>
                <w:szCs w:val="21"/>
              </w:rPr>
            </w:pPr>
            <w:r>
              <w:rPr>
                <w:rFonts w:hint="eastAsia" w:ascii="宋体" w:hAnsi="宋体" w:cs="宋体"/>
                <w:szCs w:val="21"/>
              </w:rPr>
              <w:t>1、建议建立教学做一体化的快递业务仿真实训室（或者设立校园快递物流实训中心，用于学生实习实践）。</w:t>
            </w:r>
          </w:p>
          <w:p w14:paraId="6F5887C9">
            <w:pPr>
              <w:snapToGrid w:val="0"/>
              <w:rPr>
                <w:rFonts w:ascii="宋体" w:hAnsi="宋体" w:cs="宋体"/>
                <w:szCs w:val="21"/>
              </w:rPr>
            </w:pPr>
            <w:r>
              <w:rPr>
                <w:rFonts w:hint="eastAsia" w:ascii="宋体" w:hAnsi="宋体" w:cs="宋体"/>
                <w:szCs w:val="21"/>
              </w:rPr>
              <w:t>2、建议教学过程中，建议引入具有一线企业经验的兼职教师，分享其在快递行业操作和管理经验。</w:t>
            </w:r>
          </w:p>
          <w:p w14:paraId="4CC6C851">
            <w:pPr>
              <w:snapToGrid w:val="0"/>
              <w:rPr>
                <w:rFonts w:ascii="宋体" w:hAnsi="宋体" w:cs="宋体"/>
                <w:szCs w:val="21"/>
              </w:rPr>
            </w:pPr>
            <w:r>
              <w:rPr>
                <w:rFonts w:hint="eastAsia" w:ascii="宋体" w:hAnsi="宋体" w:cs="宋体"/>
                <w:szCs w:val="21"/>
              </w:rPr>
              <w:t>3、结合快递，联系行业，融入“以快递见人性，以人性育素养”的课程思政元素。</w:t>
            </w:r>
          </w:p>
        </w:tc>
      </w:tr>
      <w:tr w14:paraId="553C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7679A66F">
            <w:pPr>
              <w:snapToGrid w:val="0"/>
              <w:jc w:val="center"/>
              <w:rPr>
                <w:rFonts w:ascii="宋体" w:hAnsi="宋体" w:cs="宋体"/>
                <w:szCs w:val="21"/>
              </w:rPr>
            </w:pPr>
            <w:r>
              <w:rPr>
                <w:rFonts w:hint="eastAsia" w:ascii="宋体" w:hAnsi="宋体" w:cs="宋体"/>
                <w:szCs w:val="21"/>
              </w:rPr>
              <w:t>物流营销</w:t>
            </w:r>
          </w:p>
        </w:tc>
        <w:tc>
          <w:tcPr>
            <w:tcW w:w="1630" w:type="pct"/>
            <w:tcBorders>
              <w:right w:val="single" w:color="auto" w:sz="4" w:space="0"/>
            </w:tcBorders>
            <w:vAlign w:val="center"/>
          </w:tcPr>
          <w:p w14:paraId="4CC6FC04">
            <w:pPr>
              <w:snapToGrid w:val="0"/>
              <w:rPr>
                <w:rFonts w:ascii="宋体" w:hAnsi="宋体" w:cs="宋体"/>
                <w:szCs w:val="21"/>
              </w:rPr>
            </w:pPr>
            <w:r>
              <w:rPr>
                <w:rFonts w:hint="eastAsia" w:ascii="宋体" w:hAnsi="宋体" w:cs="宋体"/>
                <w:szCs w:val="21"/>
              </w:rPr>
              <w:t>1、营销观念演变；2、营销环境分析；3、消费者行为分析；4、目标市场战略；5、产品策略；6、价格策略；7、渠道策略；8、促销策略。</w:t>
            </w:r>
          </w:p>
        </w:tc>
        <w:tc>
          <w:tcPr>
            <w:tcW w:w="2758" w:type="pct"/>
            <w:tcBorders>
              <w:left w:val="single" w:color="auto" w:sz="4" w:space="0"/>
            </w:tcBorders>
            <w:vAlign w:val="center"/>
          </w:tcPr>
          <w:p w14:paraId="4ABBF175">
            <w:pPr>
              <w:snapToGrid w:val="0"/>
              <w:rPr>
                <w:rFonts w:ascii="宋体" w:hAnsi="宋体" w:cs="宋体"/>
                <w:szCs w:val="21"/>
              </w:rPr>
            </w:pPr>
            <w:r>
              <w:rPr>
                <w:rFonts w:hint="eastAsia" w:ascii="宋体" w:hAnsi="宋体" w:cs="宋体"/>
                <w:szCs w:val="21"/>
              </w:rPr>
              <w:t>应以完成模拟项目小组的各项营销活动的工作任务为教学内容，重点是教会学生如何完成工作任务，知识、技能学习结合任务完成过程来进行；应围绕工作任务学习的需要，以典型产品或服务为载体设计“工作项目”，组织教学；组织教学需要遵循“实践——理论——再实践”的过程，实行理论与实践一体化教学。</w:t>
            </w:r>
          </w:p>
        </w:tc>
      </w:tr>
      <w:tr w14:paraId="5FED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4F57D8BC">
            <w:pPr>
              <w:snapToGrid w:val="0"/>
              <w:jc w:val="center"/>
              <w:rPr>
                <w:rFonts w:ascii="宋体" w:hAnsi="宋体" w:cs="宋体"/>
                <w:szCs w:val="21"/>
              </w:rPr>
            </w:pPr>
            <w:r>
              <w:rPr>
                <w:rFonts w:hint="eastAsia" w:ascii="宋体" w:hAnsi="宋体" w:cs="宋体"/>
                <w:szCs w:val="21"/>
              </w:rPr>
              <w:t>商业应用文写作</w:t>
            </w:r>
          </w:p>
        </w:tc>
        <w:tc>
          <w:tcPr>
            <w:tcW w:w="1630" w:type="pct"/>
            <w:tcBorders>
              <w:right w:val="single" w:color="auto" w:sz="4" w:space="0"/>
            </w:tcBorders>
            <w:vAlign w:val="center"/>
          </w:tcPr>
          <w:p w14:paraId="52757038">
            <w:pPr>
              <w:snapToGrid w:val="0"/>
              <w:rPr>
                <w:rFonts w:ascii="宋体" w:hAnsi="宋体" w:cs="宋体"/>
                <w:szCs w:val="21"/>
              </w:rPr>
            </w:pPr>
            <w:r>
              <w:rPr>
                <w:rFonts w:hint="eastAsia" w:ascii="宋体" w:hAnsi="宋体" w:cs="宋体"/>
                <w:szCs w:val="21"/>
              </w:rPr>
              <w:t>1、应用文写作概述；2、日常生活文书；3、社交礼仪文书；4、事务文书； 5、行政公文； 6、经济类文书；7、大学生应用文书；8、综合实践训练。</w:t>
            </w:r>
          </w:p>
        </w:tc>
        <w:tc>
          <w:tcPr>
            <w:tcW w:w="2758" w:type="pct"/>
            <w:tcBorders>
              <w:left w:val="single" w:color="auto" w:sz="4" w:space="0"/>
            </w:tcBorders>
            <w:vAlign w:val="center"/>
          </w:tcPr>
          <w:p w14:paraId="413AE88F">
            <w:pPr>
              <w:pStyle w:val="2"/>
              <w:ind w:firstLine="0" w:firstLineChars="0"/>
              <w:jc w:val="left"/>
              <w:rPr>
                <w:rFonts w:ascii="宋体" w:hAnsi="宋体"/>
                <w:szCs w:val="21"/>
              </w:rPr>
            </w:pPr>
            <w:r>
              <w:rPr>
                <w:rFonts w:hint="eastAsia" w:ascii="宋体" w:hAnsi="宋体"/>
                <w:szCs w:val="21"/>
              </w:rPr>
              <w:t>要依据高职教育实践性、应用性强的特点，教学力求突显基础性、实践性和发展性的统一，强调创新能力的培养，重在阐明实践应用价值，拓宽基础知识面，注意与相关课程的衔接，强化能力训练与能力迁移，使基本文化素养和一般能力的培养与职业能力的培养相结合，从而保证学生具有较好的职业文化素质，并为其拓展学习和终身学习打好基础。具体表现在： (1)促使学生从理论上把握新学文体,掌握必备的写作理论知识； (2)让学生多接触文章实际,领悟常用财经应用文体的写法,提高应用文写作能力； (3)指导学生进行有效的写作训练，帮助学生形成良好的写作习惯和熟练的写作技巧。</w:t>
            </w:r>
          </w:p>
          <w:p w14:paraId="4EAD8785">
            <w:pPr>
              <w:snapToGrid w:val="0"/>
              <w:rPr>
                <w:rFonts w:ascii="宋体" w:hAnsi="宋体" w:cs="宋体"/>
                <w:szCs w:val="21"/>
              </w:rPr>
            </w:pPr>
            <w:r>
              <w:rPr>
                <w:rFonts w:hint="eastAsia" w:ascii="宋体" w:hAnsi="宋体"/>
                <w:szCs w:val="21"/>
              </w:rPr>
              <w:t>课程思政元素挖掘：财经应用文写作每个环节中都蕴含着严肃、按程序办事，树立学生遵守规程，建立有效沟通的观念；通过在案例分析时引用当前科技先进个人的材料，增强学生的荣誉感，树立更远大的目标，真正体会到应用文书的实用价值。</w:t>
            </w:r>
          </w:p>
        </w:tc>
      </w:tr>
      <w:tr w14:paraId="029A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3A048CEF">
            <w:pPr>
              <w:snapToGrid w:val="0"/>
              <w:jc w:val="center"/>
              <w:rPr>
                <w:rFonts w:ascii="宋体" w:hAnsi="宋体" w:cs="宋体"/>
                <w:szCs w:val="21"/>
              </w:rPr>
            </w:pPr>
            <w:r>
              <w:rPr>
                <w:rFonts w:hint="eastAsia" w:ascii="宋体" w:hAnsi="宋体"/>
                <w:szCs w:val="21"/>
              </w:rPr>
              <w:t>第三方物流</w:t>
            </w:r>
          </w:p>
        </w:tc>
        <w:tc>
          <w:tcPr>
            <w:tcW w:w="1630" w:type="pct"/>
            <w:tcBorders>
              <w:right w:val="single" w:color="auto" w:sz="4" w:space="0"/>
            </w:tcBorders>
            <w:vAlign w:val="center"/>
          </w:tcPr>
          <w:p w14:paraId="6ED98F4E">
            <w:pPr>
              <w:pStyle w:val="2"/>
              <w:ind w:firstLine="0" w:firstLineChars="0"/>
              <w:jc w:val="left"/>
              <w:rPr>
                <w:rFonts w:ascii="宋体" w:hAnsi="宋体"/>
                <w:szCs w:val="21"/>
              </w:rPr>
            </w:pPr>
            <w:r>
              <w:rPr>
                <w:rFonts w:hint="eastAsia" w:ascii="宋体" w:hAnsi="宋体"/>
                <w:szCs w:val="21"/>
              </w:rPr>
              <w:t>1、第三方物流概述（温州四大物流园区的介绍）；2、第三方物流基本业务（以潘桥国际物流园区为主展开）；3、第三方物流在供应链中的应用；4、第三方物流市场管理（潘桥和瓯江口物流园区的管理模式）；5、基于电子商务下的第三方物流；6、第三方物流招投标与合同管理。</w:t>
            </w:r>
          </w:p>
          <w:p w14:paraId="0676AE0E">
            <w:pPr>
              <w:snapToGrid w:val="0"/>
              <w:rPr>
                <w:rFonts w:ascii="宋体" w:hAnsi="宋体" w:cs="宋体"/>
                <w:szCs w:val="21"/>
              </w:rPr>
            </w:pPr>
          </w:p>
        </w:tc>
        <w:tc>
          <w:tcPr>
            <w:tcW w:w="2758" w:type="pct"/>
            <w:tcBorders>
              <w:left w:val="single" w:color="auto" w:sz="4" w:space="0"/>
            </w:tcBorders>
            <w:vAlign w:val="center"/>
          </w:tcPr>
          <w:p w14:paraId="011F1356">
            <w:pPr>
              <w:snapToGrid w:val="0"/>
              <w:rPr>
                <w:rFonts w:ascii="宋体" w:hAnsi="宋体" w:cs="宋体"/>
                <w:szCs w:val="21"/>
              </w:rPr>
            </w:pPr>
            <w:r>
              <w:rPr>
                <w:rFonts w:hint="eastAsia" w:ascii="宋体" w:hAnsi="宋体"/>
                <w:szCs w:val="21"/>
              </w:rPr>
              <w:t>为切实提高学生的实际应用技能、动手能力，实训课程内容最好采用第三方物流管理模拟软件、或选择在物流企业完成，所选物流企业应具备较先进的物流管理设施、设备、先进的管理技术及业务能力较强的企业指导老师，以保障教学的进行。</w:t>
            </w:r>
          </w:p>
        </w:tc>
      </w:tr>
      <w:tr w14:paraId="5AFCB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741B0604">
            <w:pPr>
              <w:snapToGrid w:val="0"/>
              <w:jc w:val="center"/>
              <w:rPr>
                <w:rFonts w:ascii="宋体" w:hAnsi="宋体" w:cs="宋体"/>
                <w:szCs w:val="21"/>
              </w:rPr>
            </w:pPr>
            <w:r>
              <w:rPr>
                <w:rFonts w:hint="eastAsia" w:ascii="宋体" w:hAnsi="宋体"/>
                <w:szCs w:val="21"/>
              </w:rPr>
              <w:t>物流运筹学</w:t>
            </w:r>
          </w:p>
        </w:tc>
        <w:tc>
          <w:tcPr>
            <w:tcW w:w="1630" w:type="pct"/>
            <w:tcBorders>
              <w:right w:val="single" w:color="auto" w:sz="4" w:space="0"/>
            </w:tcBorders>
            <w:vAlign w:val="center"/>
          </w:tcPr>
          <w:p w14:paraId="6B8D343D">
            <w:pPr>
              <w:pStyle w:val="2"/>
              <w:ind w:firstLine="0" w:firstLineChars="0"/>
              <w:jc w:val="left"/>
              <w:rPr>
                <w:rFonts w:ascii="宋体" w:hAnsi="宋体"/>
                <w:szCs w:val="21"/>
              </w:rPr>
            </w:pPr>
            <w:r>
              <w:rPr>
                <w:rFonts w:hint="eastAsia" w:ascii="宋体" w:hAnsi="宋体"/>
                <w:szCs w:val="21"/>
              </w:rPr>
              <w:t>1、物流运筹学认知；</w:t>
            </w:r>
          </w:p>
          <w:p w14:paraId="72D16B5D">
            <w:pPr>
              <w:pStyle w:val="2"/>
              <w:ind w:firstLine="0" w:firstLineChars="0"/>
              <w:jc w:val="left"/>
              <w:rPr>
                <w:rFonts w:ascii="宋体" w:hAnsi="宋体"/>
                <w:szCs w:val="21"/>
              </w:rPr>
            </w:pPr>
            <w:r>
              <w:rPr>
                <w:rFonts w:hint="eastAsia" w:ascii="宋体" w:hAnsi="宋体"/>
                <w:szCs w:val="21"/>
              </w:rPr>
              <w:t>2、运筹学在生产管理和运作中的常见问题（奥康客服中心人员安排）；</w:t>
            </w:r>
          </w:p>
          <w:p w14:paraId="25A3BC47">
            <w:pPr>
              <w:pStyle w:val="2"/>
              <w:ind w:firstLine="0" w:firstLineChars="0"/>
              <w:jc w:val="left"/>
              <w:rPr>
                <w:rFonts w:ascii="宋体" w:hAnsi="宋体"/>
                <w:szCs w:val="21"/>
              </w:rPr>
            </w:pPr>
            <w:r>
              <w:rPr>
                <w:rFonts w:hint="eastAsia" w:ascii="宋体" w:hAnsi="宋体"/>
                <w:szCs w:val="21"/>
              </w:rPr>
              <w:t>3、运筹学在运输配送管理和运作的常见问题（综合物流信息平台发挥的作用）；</w:t>
            </w:r>
          </w:p>
          <w:p w14:paraId="4F4F2ED8">
            <w:pPr>
              <w:pStyle w:val="12"/>
              <w:rPr>
                <w:rFonts w:ascii="宋体" w:hAnsi="宋体"/>
                <w:sz w:val="21"/>
                <w:szCs w:val="21"/>
              </w:rPr>
            </w:pPr>
            <w:r>
              <w:rPr>
                <w:rFonts w:hint="eastAsia" w:ascii="宋体" w:hAnsi="宋体"/>
                <w:sz w:val="21"/>
                <w:szCs w:val="21"/>
              </w:rPr>
              <w:t>4、运筹学在销售管理和运作中的常见问题（正泰电器物流分拨案例）。</w:t>
            </w:r>
          </w:p>
        </w:tc>
        <w:tc>
          <w:tcPr>
            <w:tcW w:w="2758" w:type="pct"/>
            <w:tcBorders>
              <w:left w:val="single" w:color="auto" w:sz="4" w:space="0"/>
            </w:tcBorders>
            <w:vAlign w:val="center"/>
          </w:tcPr>
          <w:p w14:paraId="6E02493E">
            <w:pPr>
              <w:snapToGrid w:val="0"/>
              <w:rPr>
                <w:rFonts w:ascii="宋体" w:hAnsi="宋体" w:cs="宋体"/>
                <w:szCs w:val="21"/>
              </w:rPr>
            </w:pPr>
            <w:r>
              <w:rPr>
                <w:rFonts w:hint="eastAsia" w:ascii="宋体" w:hAnsi="宋体" w:cs="宋体"/>
                <w:szCs w:val="21"/>
              </w:rPr>
              <w:t>1、应配备安装运筹规划软件的物流实训室；</w:t>
            </w:r>
          </w:p>
          <w:p w14:paraId="3E6306A5">
            <w:pPr>
              <w:snapToGrid w:val="0"/>
              <w:rPr>
                <w:rFonts w:ascii="宋体" w:hAnsi="宋体" w:cs="宋体"/>
                <w:szCs w:val="21"/>
              </w:rPr>
            </w:pPr>
            <w:r>
              <w:rPr>
                <w:rFonts w:hint="eastAsia" w:ascii="宋体" w:hAnsi="宋体" w:cs="宋体"/>
                <w:szCs w:val="21"/>
              </w:rPr>
              <w:t>2、课程应与仓储管理、配送管理、运输管理等内容结合起来进行规划；</w:t>
            </w:r>
          </w:p>
          <w:p w14:paraId="0630F31B">
            <w:pPr>
              <w:snapToGrid w:val="0"/>
              <w:rPr>
                <w:rFonts w:ascii="宋体" w:hAnsi="宋体" w:cs="宋体"/>
                <w:szCs w:val="21"/>
              </w:rPr>
            </w:pPr>
            <w:r>
              <w:rPr>
                <w:rFonts w:hint="eastAsia" w:ascii="宋体" w:hAnsi="宋体" w:cs="宋体"/>
                <w:szCs w:val="21"/>
              </w:rPr>
              <w:t>3、因涉及到数理逻辑的内容，对高职学生来说，在教学过程需耐心、仔细。</w:t>
            </w:r>
          </w:p>
        </w:tc>
      </w:tr>
      <w:tr w14:paraId="68E2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3147B24D">
            <w:pPr>
              <w:snapToGrid w:val="0"/>
              <w:jc w:val="center"/>
              <w:rPr>
                <w:rFonts w:ascii="宋体" w:hAnsi="宋体" w:cs="宋体"/>
                <w:szCs w:val="21"/>
              </w:rPr>
            </w:pPr>
            <w:r>
              <w:rPr>
                <w:rFonts w:hint="eastAsia" w:ascii="宋体" w:hAnsi="宋体" w:cs="宋体"/>
                <w:szCs w:val="21"/>
              </w:rPr>
              <w:t>电子商务概论*</w:t>
            </w:r>
          </w:p>
        </w:tc>
        <w:tc>
          <w:tcPr>
            <w:tcW w:w="1630" w:type="pct"/>
            <w:tcBorders>
              <w:right w:val="single" w:color="auto" w:sz="4" w:space="0"/>
            </w:tcBorders>
            <w:vAlign w:val="center"/>
          </w:tcPr>
          <w:p w14:paraId="4E136964">
            <w:pPr>
              <w:snapToGrid w:val="0"/>
              <w:rPr>
                <w:rFonts w:ascii="宋体" w:hAnsi="宋体" w:cs="宋体"/>
                <w:szCs w:val="21"/>
              </w:rPr>
            </w:pPr>
            <w:r>
              <w:rPr>
                <w:rFonts w:hint="eastAsia" w:ascii="宋体" w:hAnsi="宋体" w:cs="宋体"/>
                <w:szCs w:val="21"/>
              </w:rPr>
              <w:t>1、电子商务生态链；2、电子商务模式；3、电子商务平台；4、网络支付；5、电子商务物流；6、网络营销；7、电子商务安全；8、行业电子商务应用；9、网络创新。</w:t>
            </w:r>
          </w:p>
        </w:tc>
        <w:tc>
          <w:tcPr>
            <w:tcW w:w="2758" w:type="pct"/>
            <w:tcBorders>
              <w:left w:val="single" w:color="auto" w:sz="4" w:space="0"/>
            </w:tcBorders>
            <w:vAlign w:val="center"/>
          </w:tcPr>
          <w:p w14:paraId="24B52A1B">
            <w:pPr>
              <w:snapToGrid w:val="0"/>
              <w:rPr>
                <w:rFonts w:ascii="宋体" w:hAnsi="宋体" w:cs="宋体"/>
                <w:szCs w:val="21"/>
              </w:rPr>
            </w:pPr>
            <w:r>
              <w:rPr>
                <w:rFonts w:hint="eastAsia" w:ascii="宋体" w:hAnsi="宋体" w:cs="宋体"/>
                <w:szCs w:val="21"/>
              </w:rPr>
              <w:t>1、本课程的实训内容需安排在电商专业实训室内进行，要求能接入Internet；2、计算机中要求安装WindowsXP专业版操作系统，并安装好电子商务模拟系统软件、Office、PDF等常用的系统软件。</w:t>
            </w:r>
          </w:p>
        </w:tc>
      </w:tr>
      <w:tr w14:paraId="1F76C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10" w:type="pct"/>
            <w:vAlign w:val="center"/>
          </w:tcPr>
          <w:p w14:paraId="0EC26E3F">
            <w:pPr>
              <w:snapToGrid w:val="0"/>
              <w:jc w:val="center"/>
              <w:rPr>
                <w:rFonts w:ascii="宋体" w:hAnsi="宋体" w:cs="宋体"/>
                <w:szCs w:val="21"/>
              </w:rPr>
            </w:pPr>
            <w:r>
              <w:rPr>
                <w:rFonts w:hint="eastAsia" w:ascii="宋体" w:hAnsi="宋体" w:cs="宋体"/>
                <w:szCs w:val="21"/>
              </w:rPr>
              <w:t>物流大数据应用*</w:t>
            </w:r>
          </w:p>
        </w:tc>
        <w:tc>
          <w:tcPr>
            <w:tcW w:w="1630" w:type="pct"/>
            <w:tcBorders>
              <w:right w:val="single" w:color="auto" w:sz="4" w:space="0"/>
            </w:tcBorders>
            <w:vAlign w:val="center"/>
          </w:tcPr>
          <w:p w14:paraId="717B2BCE">
            <w:pPr>
              <w:snapToGrid w:val="0"/>
              <w:rPr>
                <w:rFonts w:ascii="宋体" w:hAnsi="宋体" w:cs="宋体"/>
                <w:szCs w:val="21"/>
              </w:rPr>
            </w:pPr>
            <w:r>
              <w:rPr>
                <w:rFonts w:hint="eastAsia" w:ascii="宋体" w:hAnsi="宋体" w:cs="宋体"/>
                <w:szCs w:val="21"/>
              </w:rPr>
              <w:t>1、大数据与大数据分析认知；2、数据查询与决策；3、数据可视化与数据分析原理；4、dax语言等语言；5、商业决策与数据建模</w:t>
            </w:r>
          </w:p>
        </w:tc>
        <w:tc>
          <w:tcPr>
            <w:tcW w:w="2758" w:type="pct"/>
            <w:tcBorders>
              <w:left w:val="single" w:color="auto" w:sz="4" w:space="0"/>
            </w:tcBorders>
            <w:vAlign w:val="center"/>
          </w:tcPr>
          <w:p w14:paraId="51BE7167">
            <w:pPr>
              <w:snapToGrid w:val="0"/>
              <w:rPr>
                <w:rFonts w:ascii="宋体" w:hAnsi="宋体" w:cs="宋体"/>
                <w:szCs w:val="21"/>
              </w:rPr>
            </w:pPr>
            <w:r>
              <w:rPr>
                <w:rFonts w:hint="eastAsia" w:ascii="宋体" w:hAnsi="宋体" w:cs="宋体"/>
                <w:szCs w:val="21"/>
              </w:rPr>
              <w:t>1、本课程的教学需安排在数据实训室内进行，要求能接入Internet；2、计算机中要求安装WindowsXP专业版操作系统，并安装好Office、PDF等常用的系统软件，以及Power BI、DAX语言等数据分析与应用相关软件。</w:t>
            </w:r>
          </w:p>
        </w:tc>
      </w:tr>
    </w:tbl>
    <w:p w14:paraId="264A0C08">
      <w:pPr>
        <w:rPr>
          <w:rFonts w:ascii="宋体" w:hAnsi="宋体" w:eastAsia="宋体" w:cs="宋体"/>
          <w:bCs/>
          <w:sz w:val="24"/>
        </w:rPr>
      </w:pPr>
    </w:p>
    <w:p w14:paraId="5DB5D797">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10BC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336FB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5336FB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16F7B"/>
    <w:rsid w:val="00034376"/>
    <w:rsid w:val="004D6CE3"/>
    <w:rsid w:val="005C48F2"/>
    <w:rsid w:val="00697282"/>
    <w:rsid w:val="00827FC9"/>
    <w:rsid w:val="008D3BCF"/>
    <w:rsid w:val="009327CD"/>
    <w:rsid w:val="0096203A"/>
    <w:rsid w:val="00A678A9"/>
    <w:rsid w:val="00A939C0"/>
    <w:rsid w:val="00B44D8C"/>
    <w:rsid w:val="00D53FC2"/>
    <w:rsid w:val="00F15258"/>
    <w:rsid w:val="00F45513"/>
    <w:rsid w:val="00F65DF5"/>
    <w:rsid w:val="04D5637C"/>
    <w:rsid w:val="1D061E52"/>
    <w:rsid w:val="3C1057D9"/>
    <w:rsid w:val="41336AA3"/>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0"/>
    <w:pPr>
      <w:spacing w:beforeAutospacing="1" w:afterAutospacing="1"/>
      <w:jc w:val="left"/>
    </w:pPr>
    <w:rPr>
      <w:rFonts w:ascii="Times New Roman" w:hAnsi="Times New Roman" w:eastAsia="宋体" w:cs="Times New Roman"/>
      <w:kern w:val="0"/>
      <w:sz w:val="24"/>
      <w:szCs w:val="22"/>
    </w:rPr>
  </w:style>
  <w:style w:type="character" w:customStyle="1" w:styleId="11">
    <w:name w:val="HTML 预设格式 字符"/>
    <w:basedOn w:val="10"/>
    <w:link w:val="7"/>
    <w:qFormat/>
    <w:uiPriority w:val="99"/>
    <w:rPr>
      <w:rFonts w:ascii="宋体" w:hAnsi="宋体" w:eastAsia="宋体" w:cs="宋体"/>
      <w:sz w:val="24"/>
      <w:szCs w:val="24"/>
    </w:rPr>
  </w:style>
  <w:style w:type="paragraph" w:customStyle="1" w:styleId="12">
    <w:name w:val="表格内容"/>
    <w:basedOn w:val="1"/>
    <w:autoRedefine/>
    <w:qFormat/>
    <w:uiPriority w:val="0"/>
    <w:pPr>
      <w:jc w:val="left"/>
    </w:pPr>
    <w:rPr>
      <w:rFonts w:ascii="Times New Roman" w:hAnsi="Times New Roman" w:eastAsia="宋体" w:cs="Times New Roman"/>
      <w:sz w:val="1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4767</Words>
  <Characters>4839</Characters>
  <Lines>35</Lines>
  <Paragraphs>9</Paragraphs>
  <TotalTime>4</TotalTime>
  <ScaleCrop>false</ScaleCrop>
  <LinksUpToDate>false</LinksUpToDate>
  <CharactersWithSpaces>4847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2025-05-16T02:17:58Z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